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54F" w:rsidRPr="005F5A99" w:rsidRDefault="0015554F" w:rsidP="0015554F">
      <w:pPr>
        <w:jc w:val="center"/>
        <w:rPr>
          <w:rFonts w:ascii="Times New Roman" w:hAnsi="Times New Roman"/>
          <w:b/>
          <w:i/>
          <w:sz w:val="24"/>
        </w:rPr>
      </w:pPr>
      <w:r w:rsidRPr="009257BF">
        <w:rPr>
          <w:rFonts w:ascii="Times New Roman" w:hAnsi="Times New Roman"/>
          <w:b/>
          <w:i/>
          <w:noProof/>
          <w:sz w:val="24"/>
          <w:lang w:eastAsia="pt-BR"/>
        </w:rPr>
        <w:drawing>
          <wp:inline distT="0" distB="0" distL="0" distR="0">
            <wp:extent cx="581025" cy="638175"/>
            <wp:effectExtent l="0" t="0" r="9525"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grayscl/>
                      <a:extLst>
                        <a:ext uri="{28A0092B-C50C-407E-A947-70E740481C1C}">
                          <a14:useLocalDpi xmlns:a14="http://schemas.microsoft.com/office/drawing/2010/main" val="0"/>
                        </a:ext>
                      </a:extLst>
                    </a:blip>
                    <a:srcRect/>
                    <a:stretch>
                      <a:fillRect/>
                    </a:stretch>
                  </pic:blipFill>
                  <pic:spPr bwMode="auto">
                    <a:xfrm>
                      <a:off x="0" y="0"/>
                      <a:ext cx="581025" cy="638175"/>
                    </a:xfrm>
                    <a:prstGeom prst="rect">
                      <a:avLst/>
                    </a:prstGeom>
                    <a:noFill/>
                    <a:ln>
                      <a:noFill/>
                    </a:ln>
                  </pic:spPr>
                </pic:pic>
              </a:graphicData>
            </a:graphic>
          </wp:inline>
        </w:drawing>
      </w:r>
    </w:p>
    <w:p w:rsidR="0015554F" w:rsidRPr="00E84A08" w:rsidRDefault="0015554F" w:rsidP="0015554F">
      <w:pPr>
        <w:jc w:val="center"/>
        <w:rPr>
          <w:rFonts w:ascii="Times New Roman" w:hAnsi="Times New Roman"/>
          <w:b/>
          <w:i/>
          <w:sz w:val="24"/>
          <w:szCs w:val="24"/>
        </w:rPr>
      </w:pPr>
      <w:r w:rsidRPr="00E84A08">
        <w:rPr>
          <w:rFonts w:ascii="Times New Roman" w:hAnsi="Times New Roman"/>
          <w:b/>
          <w:i/>
          <w:sz w:val="24"/>
          <w:szCs w:val="24"/>
        </w:rPr>
        <w:t>SERVIÇO PÚBLICO FEDERAL</w:t>
      </w:r>
    </w:p>
    <w:p w:rsidR="0015554F" w:rsidRPr="00E84A08" w:rsidRDefault="0015554F" w:rsidP="0015554F">
      <w:pPr>
        <w:jc w:val="center"/>
        <w:rPr>
          <w:rFonts w:ascii="Times New Roman" w:hAnsi="Times New Roman"/>
          <w:b/>
          <w:i/>
          <w:sz w:val="24"/>
          <w:szCs w:val="24"/>
        </w:rPr>
      </w:pPr>
      <w:r w:rsidRPr="00E84A08">
        <w:rPr>
          <w:rFonts w:ascii="Times New Roman" w:hAnsi="Times New Roman"/>
          <w:b/>
          <w:i/>
          <w:sz w:val="24"/>
          <w:szCs w:val="24"/>
        </w:rPr>
        <w:t>MJ – DEPARTAMENTO DE POLÍCIA FEDERAL</w:t>
      </w:r>
    </w:p>
    <w:p w:rsidR="0015554F" w:rsidRPr="00E84A08" w:rsidRDefault="0015554F" w:rsidP="0015554F">
      <w:pPr>
        <w:pStyle w:val="Cabealho"/>
        <w:jc w:val="center"/>
        <w:rPr>
          <w:rFonts w:ascii="Times New Roman" w:hAnsi="Times New Roman"/>
          <w:b/>
          <w:bCs/>
          <w:i w:val="0"/>
          <w:sz w:val="24"/>
          <w:szCs w:val="24"/>
        </w:rPr>
      </w:pPr>
      <w:r w:rsidRPr="00E84A08">
        <w:rPr>
          <w:rFonts w:ascii="Times New Roman" w:hAnsi="Times New Roman"/>
          <w:b/>
          <w:i w:val="0"/>
          <w:sz w:val="24"/>
          <w:szCs w:val="24"/>
        </w:rPr>
        <w:t xml:space="preserve">DLOG/CPLAM – </w:t>
      </w:r>
      <w:r w:rsidRPr="00E84A08">
        <w:rPr>
          <w:rFonts w:ascii="Times New Roman" w:hAnsi="Times New Roman"/>
          <w:b/>
          <w:bCs/>
          <w:i w:val="0"/>
          <w:sz w:val="24"/>
          <w:szCs w:val="24"/>
        </w:rPr>
        <w:t xml:space="preserve">DIVISÃO DE </w:t>
      </w:r>
      <w:r>
        <w:rPr>
          <w:rFonts w:ascii="Times New Roman" w:hAnsi="Times New Roman"/>
          <w:b/>
          <w:bCs/>
          <w:i w:val="0"/>
          <w:sz w:val="24"/>
          <w:szCs w:val="24"/>
        </w:rPr>
        <w:t>ENGENHARIA E ARQUITETURA</w:t>
      </w:r>
    </w:p>
    <w:p w:rsidR="0015554F" w:rsidRPr="00E84A08" w:rsidRDefault="0015554F" w:rsidP="0015554F">
      <w:pPr>
        <w:pStyle w:val="Cabealho"/>
        <w:jc w:val="center"/>
        <w:rPr>
          <w:rFonts w:ascii="Times New Roman" w:hAnsi="Times New Roman"/>
          <w:b/>
          <w:i w:val="0"/>
          <w:sz w:val="24"/>
          <w:szCs w:val="24"/>
        </w:rPr>
      </w:pPr>
      <w:r w:rsidRPr="00E84A08">
        <w:rPr>
          <w:rFonts w:ascii="Times New Roman" w:hAnsi="Times New Roman"/>
          <w:b/>
          <w:bCs/>
          <w:i w:val="0"/>
          <w:sz w:val="24"/>
          <w:szCs w:val="24"/>
        </w:rPr>
        <w:t>SERVIÇO DE FISCALIZAÇÃO DE OBRAS</w:t>
      </w:r>
    </w:p>
    <w:p w:rsidR="0015554F" w:rsidRDefault="0015554F">
      <w:bookmarkStart w:id="0" w:name="_GoBack"/>
      <w:bookmarkEnd w:id="0"/>
    </w:p>
    <w:p w:rsidR="007068E2" w:rsidRPr="00AF04FB" w:rsidRDefault="007068E2" w:rsidP="007068E2">
      <w:pPr>
        <w:rPr>
          <w:rFonts w:cs="Arial"/>
          <w:i/>
        </w:rPr>
      </w:pPr>
      <w:r>
        <w:rPr>
          <w:rFonts w:cs="Arial"/>
          <w:sz w:val="32"/>
          <w:szCs w:val="32"/>
        </w:rPr>
        <w:t xml:space="preserve">  </w:t>
      </w:r>
    </w:p>
    <w:tbl>
      <w:tblPr>
        <w:tblW w:w="0" w:type="auto"/>
        <w:tblInd w:w="108" w:type="dxa"/>
        <w:tblLook w:val="04A0" w:firstRow="1" w:lastRow="0" w:firstColumn="1" w:lastColumn="0" w:noHBand="0" w:noVBand="1"/>
      </w:tblPr>
      <w:tblGrid>
        <w:gridCol w:w="4377"/>
        <w:gridCol w:w="4019"/>
      </w:tblGrid>
      <w:tr w:rsidR="007068E2" w:rsidRPr="00CC6D53" w:rsidTr="00AD1229">
        <w:trPr>
          <w:trHeight w:val="242"/>
        </w:trPr>
        <w:tc>
          <w:tcPr>
            <w:tcW w:w="4483" w:type="dxa"/>
          </w:tcPr>
          <w:p w:rsidR="007068E2" w:rsidRPr="007068E2" w:rsidRDefault="007068E2" w:rsidP="007068E2">
            <w:pPr>
              <w:overflowPunct w:val="0"/>
              <w:autoSpaceDE w:val="0"/>
              <w:autoSpaceDN w:val="0"/>
              <w:adjustRightInd w:val="0"/>
              <w:spacing w:after="0" w:line="240" w:lineRule="auto"/>
              <w:ind w:left="885"/>
              <w:jc w:val="both"/>
              <w:textAlignment w:val="baseline"/>
              <w:rPr>
                <w:rFonts w:ascii="Arial" w:eastAsia="Times New Roman" w:hAnsi="Arial" w:cs="Arial"/>
                <w:b/>
                <w:sz w:val="40"/>
                <w:szCs w:val="40"/>
                <w:lang w:eastAsia="pt-BR"/>
              </w:rPr>
            </w:pPr>
            <w:r w:rsidRPr="007068E2">
              <w:rPr>
                <w:rFonts w:ascii="Arial" w:eastAsia="Times New Roman" w:hAnsi="Arial" w:cs="Arial"/>
                <w:b/>
                <w:noProof/>
                <w:sz w:val="40"/>
                <w:szCs w:val="40"/>
                <w:lang w:eastAsia="pt-BR"/>
              </w:rPr>
              <w:drawing>
                <wp:anchor distT="0" distB="0" distL="114300" distR="114300" simplePos="0" relativeHeight="251659264" behindDoc="0" locked="0" layoutInCell="1" allowOverlap="1" wp14:anchorId="33143FF3" wp14:editId="2AE6223F">
                  <wp:simplePos x="0" y="0"/>
                  <wp:positionH relativeFrom="column">
                    <wp:posOffset>41910</wp:posOffset>
                  </wp:positionH>
                  <wp:positionV relativeFrom="paragraph">
                    <wp:posOffset>-48895</wp:posOffset>
                  </wp:positionV>
                  <wp:extent cx="427990" cy="559435"/>
                  <wp:effectExtent l="19050" t="0" r="0" b="0"/>
                  <wp:wrapNone/>
                  <wp:docPr id="2"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a:srcRect/>
                          <a:stretch>
                            <a:fillRect/>
                          </a:stretch>
                        </pic:blipFill>
                        <pic:spPr bwMode="auto">
                          <a:xfrm>
                            <a:off x="0" y="0"/>
                            <a:ext cx="427990" cy="559435"/>
                          </a:xfrm>
                          <a:prstGeom prst="rect">
                            <a:avLst/>
                          </a:prstGeom>
                          <a:noFill/>
                          <a:ln w="9525">
                            <a:noFill/>
                            <a:miter lim="800000"/>
                            <a:headEnd/>
                            <a:tailEnd/>
                          </a:ln>
                        </pic:spPr>
                      </pic:pic>
                    </a:graphicData>
                  </a:graphic>
                </wp:anchor>
              </w:drawing>
            </w:r>
            <w:r w:rsidRPr="007068E2">
              <w:rPr>
                <w:rFonts w:ascii="Arial" w:eastAsia="Times New Roman" w:hAnsi="Arial" w:cs="Arial"/>
                <w:b/>
                <w:sz w:val="40"/>
                <w:szCs w:val="40"/>
                <w:lang w:eastAsia="pt-BR"/>
              </w:rPr>
              <w:t>DPF</w:t>
            </w:r>
          </w:p>
          <w:p w:rsidR="007068E2" w:rsidRPr="00CC6D53" w:rsidRDefault="007068E2" w:rsidP="007068E2">
            <w:pPr>
              <w:overflowPunct w:val="0"/>
              <w:autoSpaceDE w:val="0"/>
              <w:autoSpaceDN w:val="0"/>
              <w:adjustRightInd w:val="0"/>
              <w:spacing w:after="0" w:line="240" w:lineRule="auto"/>
              <w:ind w:left="885"/>
              <w:textAlignment w:val="baseline"/>
              <w:rPr>
                <w:rFonts w:cs="Arial"/>
                <w:i/>
                <w:sz w:val="12"/>
                <w:szCs w:val="12"/>
              </w:rPr>
            </w:pPr>
            <w:r w:rsidRPr="007068E2">
              <w:rPr>
                <w:rFonts w:ascii="Arial" w:eastAsia="Times New Roman" w:hAnsi="Arial" w:cs="Arial"/>
                <w:sz w:val="32"/>
                <w:szCs w:val="32"/>
                <w:lang w:eastAsia="pt-BR"/>
              </w:rPr>
              <w:t>DEA/CPLAM/DLOG</w:t>
            </w:r>
          </w:p>
        </w:tc>
        <w:tc>
          <w:tcPr>
            <w:tcW w:w="4591" w:type="dxa"/>
          </w:tcPr>
          <w:p w:rsidR="007068E2" w:rsidRPr="00CC6D53" w:rsidRDefault="00CC3258" w:rsidP="007068E2">
            <w:pPr>
              <w:overflowPunct w:val="0"/>
              <w:autoSpaceDE w:val="0"/>
              <w:autoSpaceDN w:val="0"/>
              <w:adjustRightInd w:val="0"/>
              <w:spacing w:after="0" w:line="240" w:lineRule="auto"/>
              <w:jc w:val="right"/>
              <w:textAlignment w:val="baseline"/>
              <w:rPr>
                <w:rFonts w:cs="Arial"/>
                <w:i/>
                <w:sz w:val="28"/>
                <w:szCs w:val="28"/>
              </w:rPr>
            </w:pPr>
            <w:r>
              <w:rPr>
                <w:rFonts w:cs="Arial"/>
                <w:b/>
                <w:sz w:val="28"/>
                <w:szCs w:val="28"/>
              </w:rPr>
              <w:t xml:space="preserve"> ANEXO V</w:t>
            </w:r>
            <w:r w:rsidR="00CF62F6">
              <w:rPr>
                <w:rFonts w:cs="Arial"/>
                <w:b/>
                <w:sz w:val="28"/>
                <w:szCs w:val="28"/>
              </w:rPr>
              <w:t>I</w:t>
            </w:r>
            <w:r>
              <w:rPr>
                <w:rFonts w:cs="Arial"/>
                <w:b/>
                <w:sz w:val="28"/>
                <w:szCs w:val="28"/>
              </w:rPr>
              <w:t>I</w:t>
            </w:r>
            <w:r w:rsidR="007068E2">
              <w:rPr>
                <w:rFonts w:cs="Arial"/>
                <w:b/>
                <w:sz w:val="28"/>
                <w:szCs w:val="28"/>
              </w:rPr>
              <w:t xml:space="preserve"> - </w:t>
            </w:r>
            <w:r w:rsidR="007068E2" w:rsidRPr="00CC6D53">
              <w:rPr>
                <w:rFonts w:cs="Arial"/>
                <w:b/>
                <w:sz w:val="28"/>
                <w:szCs w:val="28"/>
              </w:rPr>
              <w:t xml:space="preserve">Caderno </w:t>
            </w:r>
            <w:r w:rsidR="007068E2">
              <w:rPr>
                <w:rFonts w:cs="Arial"/>
                <w:b/>
                <w:sz w:val="28"/>
                <w:szCs w:val="28"/>
              </w:rPr>
              <w:t>de Justificativas</w:t>
            </w:r>
          </w:p>
          <w:p w:rsidR="007068E2" w:rsidRPr="00CC6D53" w:rsidRDefault="007068E2" w:rsidP="00AD1229">
            <w:pPr>
              <w:rPr>
                <w:rFonts w:cs="Arial"/>
                <w:i/>
                <w:sz w:val="12"/>
                <w:szCs w:val="12"/>
              </w:rPr>
            </w:pPr>
          </w:p>
        </w:tc>
      </w:tr>
    </w:tbl>
    <w:p w:rsidR="007068E2" w:rsidRPr="00AF04FB" w:rsidRDefault="007068E2" w:rsidP="007068E2">
      <w:pPr>
        <w:rPr>
          <w:rFonts w:cs="Arial"/>
          <w:i/>
          <w:sz w:val="12"/>
          <w:szCs w:val="1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gridCol w:w="4300"/>
      </w:tblGrid>
      <w:tr w:rsidR="007068E2" w:rsidRPr="00AF04FB" w:rsidTr="00AD1229">
        <w:trPr>
          <w:cantSplit/>
          <w:trHeight w:val="413"/>
        </w:trPr>
        <w:tc>
          <w:tcPr>
            <w:tcW w:w="4772" w:type="dxa"/>
            <w:vMerge w:val="restart"/>
            <w:vAlign w:val="center"/>
          </w:tcPr>
          <w:p w:rsidR="007068E2" w:rsidRPr="00AF04FB" w:rsidRDefault="005454E0" w:rsidP="00CC3258">
            <w:pPr>
              <w:overflowPunct w:val="0"/>
              <w:autoSpaceDE w:val="0"/>
              <w:autoSpaceDN w:val="0"/>
              <w:adjustRightInd w:val="0"/>
              <w:spacing w:after="0" w:line="240" w:lineRule="auto"/>
              <w:jc w:val="center"/>
              <w:textAlignment w:val="baseline"/>
              <w:rPr>
                <w:rFonts w:cs="Arial"/>
                <w:b/>
                <w:i/>
                <w:sz w:val="24"/>
                <w:szCs w:val="24"/>
              </w:rPr>
            </w:pPr>
            <w:r>
              <w:rPr>
                <w:rFonts w:ascii="Arial" w:eastAsia="Times New Roman" w:hAnsi="Arial" w:cs="Arial"/>
                <w:b/>
                <w:sz w:val="24"/>
                <w:szCs w:val="24"/>
                <w:lang w:eastAsia="pt-BR"/>
              </w:rPr>
              <w:t>Restruturação das Instalações de SPDA da Sede do Departamento de Polícia Federal em Brasília.</w:t>
            </w:r>
            <w:r w:rsidR="007068E2">
              <w:rPr>
                <w:rFonts w:cs="Arial"/>
                <w:b/>
                <w:sz w:val="24"/>
                <w:szCs w:val="24"/>
              </w:rPr>
              <w:t xml:space="preserve"> </w:t>
            </w:r>
          </w:p>
        </w:tc>
        <w:tc>
          <w:tcPr>
            <w:tcW w:w="4300" w:type="dxa"/>
            <w:vAlign w:val="center"/>
          </w:tcPr>
          <w:p w:rsidR="007068E2" w:rsidRPr="00680C95" w:rsidRDefault="007068E2" w:rsidP="00CC3258">
            <w:pPr>
              <w:overflowPunct w:val="0"/>
              <w:autoSpaceDE w:val="0"/>
              <w:autoSpaceDN w:val="0"/>
              <w:adjustRightInd w:val="0"/>
              <w:spacing w:after="0" w:line="240" w:lineRule="auto"/>
              <w:jc w:val="center"/>
              <w:textAlignment w:val="baseline"/>
              <w:rPr>
                <w:rFonts w:cs="Arial"/>
                <w:b/>
                <w:i/>
                <w:sz w:val="24"/>
                <w:szCs w:val="24"/>
              </w:rPr>
            </w:pPr>
            <w:r w:rsidRPr="00680C95">
              <w:rPr>
                <w:rFonts w:cs="Arial"/>
                <w:b/>
                <w:sz w:val="24"/>
                <w:szCs w:val="24"/>
              </w:rPr>
              <w:t>Projeto Básico</w:t>
            </w:r>
            <w:r>
              <w:rPr>
                <w:rFonts w:cs="Arial"/>
                <w:b/>
                <w:sz w:val="24"/>
                <w:szCs w:val="24"/>
              </w:rPr>
              <w:t xml:space="preserve"> nº</w:t>
            </w:r>
            <w:r w:rsidRPr="00680C95">
              <w:rPr>
                <w:rFonts w:cs="Arial"/>
                <w:b/>
                <w:sz w:val="24"/>
                <w:szCs w:val="24"/>
              </w:rPr>
              <w:t xml:space="preserve"> </w:t>
            </w:r>
            <w:r w:rsidR="00871F38" w:rsidRPr="00871F38">
              <w:rPr>
                <w:rFonts w:cs="Arial"/>
                <w:b/>
                <w:sz w:val="24"/>
                <w:szCs w:val="24"/>
              </w:rPr>
              <w:t>01/2015</w:t>
            </w:r>
            <w:r w:rsidRPr="00680C95">
              <w:rPr>
                <w:rFonts w:cs="Arial"/>
                <w:b/>
                <w:sz w:val="24"/>
                <w:szCs w:val="24"/>
              </w:rPr>
              <w:t>/</w:t>
            </w:r>
            <w:r w:rsidRPr="00CC3258">
              <w:rPr>
                <w:rFonts w:ascii="Arial" w:eastAsia="Times New Roman" w:hAnsi="Arial" w:cs="Arial"/>
                <w:b/>
                <w:sz w:val="24"/>
                <w:szCs w:val="24"/>
                <w:lang w:eastAsia="pt-BR"/>
              </w:rPr>
              <w:t>SEFIS</w:t>
            </w:r>
          </w:p>
        </w:tc>
      </w:tr>
      <w:tr w:rsidR="007068E2" w:rsidRPr="00AF04FB" w:rsidTr="00AD1229">
        <w:trPr>
          <w:cantSplit/>
          <w:trHeight w:val="412"/>
        </w:trPr>
        <w:tc>
          <w:tcPr>
            <w:tcW w:w="4772" w:type="dxa"/>
            <w:vMerge/>
          </w:tcPr>
          <w:p w:rsidR="007068E2" w:rsidRPr="00AF04FB" w:rsidRDefault="007068E2" w:rsidP="00AD1229">
            <w:pPr>
              <w:jc w:val="both"/>
              <w:rPr>
                <w:rFonts w:cs="Arial"/>
                <w:b/>
                <w:i/>
              </w:rPr>
            </w:pPr>
          </w:p>
        </w:tc>
        <w:tc>
          <w:tcPr>
            <w:tcW w:w="4300" w:type="dxa"/>
            <w:vAlign w:val="center"/>
          </w:tcPr>
          <w:p w:rsidR="007068E2" w:rsidRPr="00E36C6D" w:rsidRDefault="00EB6D10" w:rsidP="00CC3258">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t-BR"/>
              </w:rPr>
            </w:pPr>
            <w:r>
              <w:rPr>
                <w:rFonts w:ascii="Arial" w:eastAsia="Times New Roman" w:hAnsi="Arial" w:cs="Times New Roman"/>
                <w:sz w:val="20"/>
                <w:szCs w:val="20"/>
                <w:lang w:eastAsia="pt-BR"/>
              </w:rPr>
              <w:t>Abril</w:t>
            </w:r>
            <w:r w:rsidR="00A27711">
              <w:rPr>
                <w:rFonts w:ascii="Arial" w:eastAsia="Times New Roman" w:hAnsi="Arial" w:cs="Times New Roman"/>
                <w:sz w:val="20"/>
                <w:szCs w:val="20"/>
                <w:lang w:eastAsia="pt-BR"/>
              </w:rPr>
              <w:t xml:space="preserve"> de 2015</w:t>
            </w:r>
          </w:p>
        </w:tc>
      </w:tr>
    </w:tbl>
    <w:p w:rsidR="007068E2" w:rsidRDefault="007068E2"/>
    <w:p w:rsidR="004817DD" w:rsidRPr="004817DD" w:rsidRDefault="004817DD" w:rsidP="004817DD">
      <w:pPr>
        <w:widowControl w:val="0"/>
        <w:pBdr>
          <w:bottom w:val="single" w:sz="6" w:space="1" w:color="auto"/>
        </w:pBdr>
        <w:tabs>
          <w:tab w:val="num" w:pos="851"/>
        </w:tabs>
        <w:overflowPunct w:val="0"/>
        <w:autoSpaceDE w:val="0"/>
        <w:autoSpaceDN w:val="0"/>
        <w:adjustRightInd w:val="0"/>
        <w:spacing w:after="0" w:line="240" w:lineRule="auto"/>
        <w:ind w:left="851" w:hanging="851"/>
        <w:jc w:val="both"/>
        <w:textAlignment w:val="baseline"/>
        <w:rPr>
          <w:rFonts w:ascii="Arial" w:eastAsia="Times New Roman" w:hAnsi="Arial" w:cs="Times New Roman"/>
          <w:b/>
          <w:sz w:val="32"/>
          <w:szCs w:val="32"/>
          <w:lang w:eastAsia="pt-BR"/>
        </w:rPr>
      </w:pPr>
      <w:r>
        <w:rPr>
          <w:rFonts w:ascii="Arial" w:eastAsia="Times New Roman" w:hAnsi="Arial" w:cs="Times New Roman"/>
          <w:b/>
          <w:sz w:val="32"/>
          <w:szCs w:val="32"/>
          <w:lang w:eastAsia="pt-BR"/>
        </w:rPr>
        <w:t>1 Objetivo</w:t>
      </w:r>
    </w:p>
    <w:p w:rsidR="004817DD" w:rsidRDefault="004817DD" w:rsidP="004817DD">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p>
    <w:p w:rsidR="0015554F" w:rsidRPr="00D518BD" w:rsidRDefault="0015554F" w:rsidP="004817DD">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r w:rsidRPr="004817DD">
        <w:rPr>
          <w:rFonts w:ascii="Arial" w:eastAsia="Times New Roman" w:hAnsi="Arial" w:cs="Arial"/>
          <w:sz w:val="20"/>
          <w:szCs w:val="20"/>
          <w:lang w:eastAsia="pt-BR"/>
        </w:rPr>
        <w:t>O objetivo deste caderno é justificar as escolhas e métodos</w:t>
      </w:r>
      <w:r w:rsidR="00D02F7D">
        <w:rPr>
          <w:rFonts w:ascii="Arial" w:eastAsia="Times New Roman" w:hAnsi="Arial" w:cs="Arial"/>
          <w:sz w:val="20"/>
          <w:szCs w:val="20"/>
          <w:lang w:eastAsia="pt-BR"/>
        </w:rPr>
        <w:t xml:space="preserve"> realizados no Projeto Básico 01/2015</w:t>
      </w:r>
      <w:r w:rsidRPr="004817DD">
        <w:rPr>
          <w:rFonts w:ascii="Arial" w:eastAsia="Times New Roman" w:hAnsi="Arial" w:cs="Arial"/>
          <w:sz w:val="20"/>
          <w:szCs w:val="20"/>
          <w:lang w:eastAsia="pt-BR"/>
        </w:rPr>
        <w:t>.</w:t>
      </w:r>
    </w:p>
    <w:p w:rsidR="004817DD" w:rsidRPr="004817DD" w:rsidRDefault="004817DD" w:rsidP="004817DD">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p>
    <w:p w:rsidR="004817DD" w:rsidRPr="004817DD" w:rsidRDefault="004817DD" w:rsidP="004817DD">
      <w:pPr>
        <w:widowControl w:val="0"/>
        <w:pBdr>
          <w:bottom w:val="single" w:sz="6" w:space="1" w:color="auto"/>
        </w:pBdr>
        <w:tabs>
          <w:tab w:val="num" w:pos="851"/>
        </w:tabs>
        <w:overflowPunct w:val="0"/>
        <w:autoSpaceDE w:val="0"/>
        <w:autoSpaceDN w:val="0"/>
        <w:adjustRightInd w:val="0"/>
        <w:spacing w:after="0" w:line="240" w:lineRule="auto"/>
        <w:ind w:left="851" w:hanging="851"/>
        <w:jc w:val="both"/>
        <w:textAlignment w:val="baseline"/>
        <w:rPr>
          <w:rFonts w:ascii="Arial" w:eastAsia="Times New Roman" w:hAnsi="Arial" w:cs="Times New Roman"/>
          <w:b/>
          <w:sz w:val="32"/>
          <w:szCs w:val="32"/>
          <w:lang w:eastAsia="pt-BR"/>
        </w:rPr>
      </w:pPr>
      <w:r>
        <w:rPr>
          <w:rFonts w:ascii="Arial" w:eastAsia="Times New Roman" w:hAnsi="Arial" w:cs="Times New Roman"/>
          <w:b/>
          <w:sz w:val="32"/>
          <w:szCs w:val="32"/>
          <w:lang w:eastAsia="pt-BR"/>
        </w:rPr>
        <w:t>2 Objeto</w:t>
      </w:r>
    </w:p>
    <w:p w:rsidR="004817DD" w:rsidRDefault="004817DD" w:rsidP="004817DD">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p>
    <w:p w:rsidR="0015554F" w:rsidRDefault="00B0689C" w:rsidP="004817DD">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r>
        <w:rPr>
          <w:rFonts w:ascii="Arial" w:eastAsia="Times New Roman" w:hAnsi="Arial" w:cs="Arial"/>
          <w:sz w:val="20"/>
          <w:szCs w:val="20"/>
          <w:lang w:eastAsia="pt-BR"/>
        </w:rPr>
        <w:t>Execução de obra para a reestruturação/adequação/reforma do SPDA do Edifício Sede do Departamento de Polícia Federal em Brasília – DF.</w:t>
      </w:r>
    </w:p>
    <w:p w:rsidR="004817DD" w:rsidRPr="004817DD" w:rsidRDefault="004817DD" w:rsidP="004817DD">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p>
    <w:p w:rsidR="004817DD" w:rsidRPr="004817DD" w:rsidRDefault="004817DD" w:rsidP="004817DD">
      <w:pPr>
        <w:widowControl w:val="0"/>
        <w:pBdr>
          <w:bottom w:val="single" w:sz="6" w:space="1" w:color="auto"/>
        </w:pBdr>
        <w:tabs>
          <w:tab w:val="num" w:pos="851"/>
        </w:tabs>
        <w:overflowPunct w:val="0"/>
        <w:autoSpaceDE w:val="0"/>
        <w:autoSpaceDN w:val="0"/>
        <w:adjustRightInd w:val="0"/>
        <w:spacing w:after="0" w:line="240" w:lineRule="auto"/>
        <w:ind w:left="851" w:hanging="851"/>
        <w:jc w:val="both"/>
        <w:textAlignment w:val="baseline"/>
        <w:rPr>
          <w:rFonts w:ascii="Arial" w:eastAsia="Times New Roman" w:hAnsi="Arial" w:cs="Times New Roman"/>
          <w:b/>
          <w:sz w:val="32"/>
          <w:szCs w:val="32"/>
          <w:lang w:eastAsia="pt-BR"/>
        </w:rPr>
      </w:pPr>
      <w:r w:rsidRPr="004817DD">
        <w:rPr>
          <w:rFonts w:ascii="Arial" w:eastAsia="Times New Roman" w:hAnsi="Arial" w:cs="Times New Roman"/>
          <w:b/>
          <w:sz w:val="32"/>
          <w:szCs w:val="32"/>
          <w:lang w:eastAsia="pt-BR"/>
        </w:rPr>
        <w:t>3 Justificativas</w:t>
      </w:r>
    </w:p>
    <w:p w:rsidR="004817DD" w:rsidRDefault="004817DD"/>
    <w:p w:rsidR="00CB4478" w:rsidRPr="004817DD" w:rsidRDefault="004817DD" w:rsidP="004817DD">
      <w:pPr>
        <w:widowControl w:val="0"/>
        <w:overflowPunct w:val="0"/>
        <w:autoSpaceDE w:val="0"/>
        <w:autoSpaceDN w:val="0"/>
        <w:adjustRightInd w:val="0"/>
        <w:spacing w:after="0" w:line="240" w:lineRule="auto"/>
        <w:ind w:left="851" w:hanging="851"/>
        <w:jc w:val="both"/>
        <w:textAlignment w:val="baseline"/>
        <w:rPr>
          <w:rFonts w:ascii="Arial" w:eastAsia="Times New Roman" w:hAnsi="Arial" w:cs="Times New Roman"/>
          <w:b/>
          <w:sz w:val="24"/>
          <w:szCs w:val="20"/>
          <w:lang w:eastAsia="pt-BR"/>
        </w:rPr>
      </w:pPr>
      <w:r w:rsidRPr="004817DD">
        <w:rPr>
          <w:rFonts w:ascii="Arial" w:eastAsia="Times New Roman" w:hAnsi="Arial" w:cs="Times New Roman"/>
          <w:b/>
          <w:sz w:val="24"/>
          <w:szCs w:val="20"/>
          <w:lang w:eastAsia="pt-BR"/>
        </w:rPr>
        <w:t xml:space="preserve">3.1 </w:t>
      </w:r>
      <w:r w:rsidR="00CB4478" w:rsidRPr="004817DD">
        <w:rPr>
          <w:rFonts w:ascii="Arial" w:eastAsia="Times New Roman" w:hAnsi="Arial" w:cs="Times New Roman"/>
          <w:b/>
          <w:sz w:val="24"/>
          <w:szCs w:val="20"/>
          <w:lang w:eastAsia="pt-BR"/>
        </w:rPr>
        <w:t>Obra ou serviço de engenharia</w:t>
      </w:r>
      <w:r w:rsidR="005943B1">
        <w:rPr>
          <w:rFonts w:ascii="Arial" w:eastAsia="Times New Roman" w:hAnsi="Arial" w:cs="Times New Roman"/>
          <w:b/>
          <w:sz w:val="24"/>
          <w:szCs w:val="20"/>
          <w:lang w:eastAsia="pt-BR"/>
        </w:rPr>
        <w:t>?</w:t>
      </w:r>
    </w:p>
    <w:p w:rsidR="004817DD" w:rsidRDefault="004817DD" w:rsidP="004817DD">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p>
    <w:p w:rsidR="00B0116A" w:rsidRDefault="00B0116A" w:rsidP="00D02F7D">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r>
        <w:rPr>
          <w:rFonts w:ascii="Arial" w:eastAsia="Times New Roman" w:hAnsi="Arial" w:cs="Arial"/>
          <w:sz w:val="20"/>
          <w:szCs w:val="20"/>
          <w:lang w:eastAsia="pt-BR"/>
        </w:rPr>
        <w:tab/>
        <w:t xml:space="preserve">De acordo com </w:t>
      </w:r>
      <w:r w:rsidR="00A97B43">
        <w:rPr>
          <w:rFonts w:ascii="Arial" w:eastAsia="Times New Roman" w:hAnsi="Arial" w:cs="Arial"/>
          <w:sz w:val="20"/>
          <w:szCs w:val="20"/>
          <w:lang w:eastAsia="pt-BR"/>
        </w:rPr>
        <w:t>a</w:t>
      </w:r>
      <w:r>
        <w:rPr>
          <w:rFonts w:ascii="Arial" w:eastAsia="Times New Roman" w:hAnsi="Arial" w:cs="Arial"/>
          <w:sz w:val="20"/>
          <w:szCs w:val="20"/>
          <w:lang w:eastAsia="pt-BR"/>
        </w:rPr>
        <w:t xml:space="preserve"> lei de licitações (8.666/93):</w:t>
      </w:r>
    </w:p>
    <w:p w:rsidR="00B0116A" w:rsidRDefault="00B0116A" w:rsidP="00D02F7D">
      <w:pPr>
        <w:pStyle w:val="NormalWeb"/>
        <w:spacing w:before="0" w:beforeAutospacing="0"/>
        <w:ind w:firstLine="450"/>
      </w:pPr>
      <w:r>
        <w:rPr>
          <w:rFonts w:ascii="Arial" w:hAnsi="Arial" w:cs="Arial"/>
          <w:sz w:val="20"/>
          <w:szCs w:val="20"/>
        </w:rPr>
        <w:t>“Art. 6</w:t>
      </w:r>
      <w:proofErr w:type="gramStart"/>
      <w:r>
        <w:rPr>
          <w:rFonts w:ascii="Arial" w:hAnsi="Arial" w:cs="Arial"/>
          <w:sz w:val="20"/>
          <w:szCs w:val="20"/>
          <w:u w:val="single"/>
          <w:vertAlign w:val="superscript"/>
        </w:rPr>
        <w:t>o</w:t>
      </w:r>
      <w:r>
        <w:rPr>
          <w:rFonts w:ascii="Arial" w:hAnsi="Arial" w:cs="Arial"/>
          <w:sz w:val="20"/>
          <w:szCs w:val="20"/>
        </w:rPr>
        <w:t>  Para</w:t>
      </w:r>
      <w:proofErr w:type="gramEnd"/>
      <w:r>
        <w:rPr>
          <w:rFonts w:ascii="Arial" w:hAnsi="Arial" w:cs="Arial"/>
          <w:sz w:val="20"/>
          <w:szCs w:val="20"/>
        </w:rPr>
        <w:t xml:space="preserve"> os fins desta Lei, considera-se:</w:t>
      </w:r>
    </w:p>
    <w:p w:rsidR="00B0116A" w:rsidRDefault="00B0116A" w:rsidP="00D02F7D">
      <w:pPr>
        <w:pStyle w:val="NormalWeb"/>
        <w:spacing w:before="0" w:beforeAutospacing="0"/>
        <w:ind w:firstLine="450"/>
      </w:pPr>
      <w:r>
        <w:rPr>
          <w:rFonts w:ascii="Arial" w:hAnsi="Arial" w:cs="Arial"/>
          <w:sz w:val="20"/>
          <w:szCs w:val="20"/>
        </w:rPr>
        <w:t>I - Obra - toda construção, reforma, fabricação, recuperação ou ampliação, realizada por execução direta ou indireta;</w:t>
      </w:r>
    </w:p>
    <w:p w:rsidR="00B0116A" w:rsidRDefault="00B0116A" w:rsidP="00D02F7D">
      <w:pPr>
        <w:pStyle w:val="NormalWeb"/>
        <w:spacing w:before="0" w:beforeAutospacing="0"/>
        <w:ind w:firstLine="450"/>
      </w:pPr>
      <w:r>
        <w:rPr>
          <w:rFonts w:ascii="Arial" w:hAnsi="Arial" w:cs="Arial"/>
          <w:sz w:val="20"/>
          <w:szCs w:val="20"/>
        </w:rPr>
        <w:t xml:space="preserve">II - Serviço - toda atividade destinada a obter determinada utilidade de interesse para a Administração, tais como: demolição, conserto, instalação, montagem, operação, conservação, reparação, adaptação, manutenção, transporte, locação de bens, publicidade, seguro ou trabalhos técnico-profissionais; </w:t>
      </w:r>
    </w:p>
    <w:p w:rsidR="00B0116A" w:rsidRDefault="00B0116A" w:rsidP="00D02F7D">
      <w:pPr>
        <w:pStyle w:val="NormalWeb"/>
        <w:spacing w:before="0" w:beforeAutospacing="0"/>
        <w:ind w:firstLine="450"/>
      </w:pPr>
      <w:r>
        <w:rPr>
          <w:rFonts w:ascii="Arial" w:hAnsi="Arial" w:cs="Arial"/>
          <w:sz w:val="20"/>
          <w:szCs w:val="20"/>
        </w:rPr>
        <w:t>III - Compra - toda aquisição remunerada de bens para fornecimento de uma só vez ou parceladamente;”</w:t>
      </w:r>
    </w:p>
    <w:p w:rsidR="005943B1" w:rsidRDefault="005943B1" w:rsidP="00D02F7D">
      <w:pPr>
        <w:pStyle w:val="NormalWeb"/>
        <w:spacing w:before="0" w:beforeAutospacing="0"/>
        <w:jc w:val="center"/>
      </w:pPr>
      <w:r>
        <w:rPr>
          <w:rFonts w:ascii="Arial" w:hAnsi="Arial" w:cs="Arial"/>
          <w:b/>
          <w:bCs/>
          <w:sz w:val="20"/>
          <w:szCs w:val="20"/>
        </w:rPr>
        <w:t>“Dos Serviços Técnicos Profissionais Especializados</w:t>
      </w:r>
    </w:p>
    <w:p w:rsidR="005943B1" w:rsidRDefault="005943B1" w:rsidP="00D02F7D">
      <w:pPr>
        <w:pStyle w:val="NormalWeb"/>
        <w:spacing w:before="0" w:beforeAutospacing="0"/>
        <w:ind w:firstLine="450"/>
      </w:pPr>
      <w:r>
        <w:rPr>
          <w:rFonts w:ascii="Arial" w:hAnsi="Arial" w:cs="Arial"/>
          <w:sz w:val="20"/>
          <w:szCs w:val="20"/>
        </w:rPr>
        <w:lastRenderedPageBreak/>
        <w:t>Art. 13.  Para os fins desta Lei, consideram-se serviços técnicos profissionais especializados os trabalhos relativos a:</w:t>
      </w:r>
    </w:p>
    <w:p w:rsidR="005943B1" w:rsidRDefault="005943B1" w:rsidP="00D02F7D">
      <w:pPr>
        <w:pStyle w:val="NormalWeb"/>
        <w:spacing w:before="0" w:beforeAutospacing="0"/>
        <w:ind w:firstLine="450"/>
      </w:pPr>
      <w:r>
        <w:rPr>
          <w:rFonts w:ascii="Arial" w:hAnsi="Arial" w:cs="Arial"/>
          <w:sz w:val="20"/>
          <w:szCs w:val="20"/>
        </w:rPr>
        <w:t>I - estudos técnicos, planejamentos e projetos básicos ou executivos;</w:t>
      </w:r>
    </w:p>
    <w:p w:rsidR="005943B1" w:rsidRDefault="005943B1" w:rsidP="00D02F7D">
      <w:pPr>
        <w:pStyle w:val="NormalWeb"/>
        <w:spacing w:before="0" w:beforeAutospacing="0"/>
        <w:ind w:firstLine="450"/>
      </w:pPr>
      <w:r>
        <w:rPr>
          <w:rFonts w:ascii="Arial" w:hAnsi="Arial" w:cs="Arial"/>
          <w:sz w:val="20"/>
          <w:szCs w:val="20"/>
        </w:rPr>
        <w:t>II - pareceres, perícias e avaliações em geral;</w:t>
      </w:r>
    </w:p>
    <w:p w:rsidR="005943B1" w:rsidRDefault="005943B1" w:rsidP="00D02F7D">
      <w:pPr>
        <w:pStyle w:val="NormalWeb"/>
        <w:spacing w:before="0" w:beforeAutospacing="0"/>
        <w:ind w:firstLine="450"/>
      </w:pPr>
      <w:r>
        <w:rPr>
          <w:rFonts w:ascii="Arial" w:hAnsi="Arial" w:cs="Arial"/>
          <w:sz w:val="20"/>
          <w:szCs w:val="20"/>
        </w:rPr>
        <w:t xml:space="preserve">III - assessorias ou consultorias técnicas e auditorias financeiras ou tributárias; </w:t>
      </w:r>
      <w:hyperlink r:id="rId7" w:anchor="art13iii" w:history="1">
        <w:r>
          <w:rPr>
            <w:rStyle w:val="Hyperlink"/>
            <w:rFonts w:cs="Arial"/>
          </w:rPr>
          <w:t>(Redação dada pela Lei nº 8.883, de 1994)</w:t>
        </w:r>
      </w:hyperlink>
    </w:p>
    <w:p w:rsidR="005943B1" w:rsidRDefault="005943B1" w:rsidP="00D02F7D">
      <w:pPr>
        <w:pStyle w:val="NormalWeb"/>
        <w:spacing w:before="0" w:beforeAutospacing="0"/>
        <w:ind w:firstLine="450"/>
      </w:pPr>
      <w:r>
        <w:rPr>
          <w:rFonts w:ascii="Arial" w:hAnsi="Arial" w:cs="Arial"/>
          <w:sz w:val="20"/>
          <w:szCs w:val="20"/>
        </w:rPr>
        <w:t>IV - fiscalização, supervisão ou gerenciamento de obras ou serviços;</w:t>
      </w:r>
    </w:p>
    <w:p w:rsidR="005943B1" w:rsidRDefault="005943B1" w:rsidP="00D02F7D">
      <w:pPr>
        <w:pStyle w:val="NormalWeb"/>
        <w:spacing w:before="0" w:beforeAutospacing="0"/>
        <w:ind w:firstLine="450"/>
      </w:pPr>
      <w:r>
        <w:rPr>
          <w:rFonts w:ascii="Arial" w:hAnsi="Arial" w:cs="Arial"/>
          <w:sz w:val="20"/>
          <w:szCs w:val="20"/>
        </w:rPr>
        <w:t>V - patrocínio ou defesa de causas judiciais ou administrativas;</w:t>
      </w:r>
    </w:p>
    <w:p w:rsidR="005943B1" w:rsidRDefault="005943B1" w:rsidP="00D02F7D">
      <w:pPr>
        <w:pStyle w:val="NormalWeb"/>
        <w:spacing w:before="0" w:beforeAutospacing="0"/>
        <w:ind w:firstLine="450"/>
      </w:pPr>
      <w:r>
        <w:rPr>
          <w:rFonts w:ascii="Arial" w:hAnsi="Arial" w:cs="Arial"/>
          <w:sz w:val="20"/>
          <w:szCs w:val="20"/>
        </w:rPr>
        <w:t>VI - treinamento e aperfeiçoamento de pessoal;</w:t>
      </w:r>
    </w:p>
    <w:p w:rsidR="005943B1" w:rsidRDefault="005943B1" w:rsidP="00D02F7D">
      <w:pPr>
        <w:pStyle w:val="NormalWeb"/>
        <w:spacing w:before="0" w:beforeAutospacing="0"/>
        <w:ind w:firstLine="450"/>
      </w:pPr>
      <w:r>
        <w:rPr>
          <w:rFonts w:ascii="Arial" w:hAnsi="Arial" w:cs="Arial"/>
          <w:sz w:val="20"/>
          <w:szCs w:val="20"/>
        </w:rPr>
        <w:t>VII - restauração de obras de arte e bens de valor histórico.”</w:t>
      </w:r>
    </w:p>
    <w:p w:rsidR="00B0116A" w:rsidRDefault="00A97B43" w:rsidP="004817DD">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r>
        <w:rPr>
          <w:rFonts w:ascii="Arial" w:eastAsia="Times New Roman" w:hAnsi="Arial" w:cs="Arial"/>
          <w:sz w:val="20"/>
          <w:szCs w:val="20"/>
          <w:lang w:eastAsia="pt-BR"/>
        </w:rPr>
        <w:t xml:space="preserve">Pelo entendimento do artigo sexto, inciso I da referida norma a execução do objeto é considerado como </w:t>
      </w:r>
      <w:r w:rsidRPr="00A97B43">
        <w:rPr>
          <w:rFonts w:ascii="Arial" w:eastAsia="Times New Roman" w:hAnsi="Arial" w:cs="Arial"/>
          <w:b/>
          <w:sz w:val="20"/>
          <w:szCs w:val="20"/>
          <w:lang w:eastAsia="pt-BR"/>
        </w:rPr>
        <w:t>obra de engenharia</w:t>
      </w:r>
      <w:r w:rsidR="00DE1CAB">
        <w:rPr>
          <w:rFonts w:ascii="Arial" w:eastAsia="Times New Roman" w:hAnsi="Arial" w:cs="Arial"/>
          <w:sz w:val="20"/>
          <w:szCs w:val="20"/>
          <w:lang w:eastAsia="pt-BR"/>
        </w:rPr>
        <w:t xml:space="preserve"> visto que há</w:t>
      </w:r>
      <w:r>
        <w:rPr>
          <w:rFonts w:ascii="Arial" w:eastAsia="Times New Roman" w:hAnsi="Arial" w:cs="Arial"/>
          <w:sz w:val="20"/>
          <w:szCs w:val="20"/>
          <w:lang w:eastAsia="pt-BR"/>
        </w:rPr>
        <w:t xml:space="preserve"> existência de tangibilidade e materialidade do “serviço” prestado, de acordo com o entendimento de Lucas Rocha Furtado. Serviço de engenharia, de acordo com o entendimento do Tribunal de Contas da União, está relacionado com serviços de manutenção e reparação periódica da edificação. Este não é o caso em questão, uma vez que não se busca a conservação do edifício, mas sim uma reestruturação completa do SPDA que está em desacordo com as normas e com a segurança desde a década de 70. Este serviço não é mera manutenção, pois </w:t>
      </w:r>
      <w:r w:rsidR="00DE1CAB">
        <w:rPr>
          <w:rFonts w:ascii="Arial" w:eastAsia="Times New Roman" w:hAnsi="Arial" w:cs="Arial"/>
          <w:sz w:val="20"/>
          <w:szCs w:val="20"/>
          <w:lang w:eastAsia="pt-BR"/>
        </w:rPr>
        <w:t xml:space="preserve">a </w:t>
      </w:r>
      <w:r w:rsidR="00DE1CAB" w:rsidRPr="00DE1CAB">
        <w:rPr>
          <w:rFonts w:ascii="Arial" w:eastAsia="Times New Roman" w:hAnsi="Arial" w:cs="Arial"/>
          <w:sz w:val="20"/>
          <w:szCs w:val="20"/>
          <w:u w:val="single"/>
          <w:lang w:eastAsia="pt-BR"/>
        </w:rPr>
        <w:t>obra</w:t>
      </w:r>
      <w:r w:rsidR="00DE1CAB">
        <w:rPr>
          <w:rFonts w:ascii="Arial" w:eastAsia="Times New Roman" w:hAnsi="Arial" w:cs="Arial"/>
          <w:sz w:val="20"/>
          <w:szCs w:val="20"/>
          <w:lang w:eastAsia="pt-BR"/>
        </w:rPr>
        <w:t xml:space="preserve"> deverá suprir todos os vícios em desacordo com a norma e com a segurança da edificação e dos indivíduos que frequentam o local.</w:t>
      </w:r>
    </w:p>
    <w:p w:rsidR="005943B1" w:rsidRDefault="005943B1" w:rsidP="004817DD">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p>
    <w:p w:rsidR="00DE1CAB" w:rsidRDefault="00DE1CAB" w:rsidP="004817DD">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r>
        <w:rPr>
          <w:rFonts w:ascii="Arial" w:eastAsia="Times New Roman" w:hAnsi="Arial" w:cs="Arial"/>
          <w:sz w:val="20"/>
          <w:szCs w:val="20"/>
          <w:lang w:eastAsia="pt-BR"/>
        </w:rPr>
        <w:t xml:space="preserve">Mesmo que haja dúvida sobre a caracterização do objeto como obra de engenharia, sendo considerado como serviço de engenharia, ainda assim não se poderia utilizar da modalidade pegão para aquisição deste “serviço”. De acordo com o entendimento do CONFEA, na PL 2467/2012, todo serviço que necessitar de Anotação de Responsabilidade Técnica não poderá ser caracterizado como comum. Ou seja, não pode ser considerado como serviço comum de engenharia. São exemplos claros destes tipos de serviço os incisos I, II e IV do art. 13 da lei 8.666/93 (vide a cópia da lei). </w:t>
      </w:r>
      <w:r w:rsidR="003E5807">
        <w:rPr>
          <w:rFonts w:ascii="Arial" w:eastAsia="Times New Roman" w:hAnsi="Arial" w:cs="Arial"/>
          <w:sz w:val="20"/>
          <w:szCs w:val="20"/>
          <w:lang w:eastAsia="pt-BR"/>
        </w:rPr>
        <w:t xml:space="preserve">É relevante salientar que a norma considera tais serviços como </w:t>
      </w:r>
      <w:r w:rsidR="003E5807" w:rsidRPr="003E5807">
        <w:rPr>
          <w:rFonts w:ascii="Arial" w:eastAsia="Times New Roman" w:hAnsi="Arial" w:cs="Arial"/>
          <w:sz w:val="20"/>
          <w:szCs w:val="20"/>
          <w:u w:val="single"/>
          <w:lang w:eastAsia="pt-BR"/>
        </w:rPr>
        <w:t>Serviços Técnicos Profissionais Especializados</w:t>
      </w:r>
      <w:r w:rsidR="003E5807">
        <w:rPr>
          <w:rFonts w:ascii="Arial" w:eastAsia="Times New Roman" w:hAnsi="Arial" w:cs="Arial"/>
          <w:sz w:val="20"/>
          <w:szCs w:val="20"/>
          <w:lang w:eastAsia="pt-BR"/>
        </w:rPr>
        <w:t>. As palavras “profissionais”</w:t>
      </w:r>
      <w:r w:rsidR="00234591">
        <w:rPr>
          <w:rFonts w:ascii="Arial" w:eastAsia="Times New Roman" w:hAnsi="Arial" w:cs="Arial"/>
          <w:sz w:val="20"/>
          <w:szCs w:val="20"/>
          <w:lang w:eastAsia="pt-BR"/>
        </w:rPr>
        <w:t>,</w:t>
      </w:r>
      <w:r w:rsidR="003E5807">
        <w:rPr>
          <w:rFonts w:ascii="Arial" w:eastAsia="Times New Roman" w:hAnsi="Arial" w:cs="Arial"/>
          <w:sz w:val="20"/>
          <w:szCs w:val="20"/>
          <w:lang w:eastAsia="pt-BR"/>
        </w:rPr>
        <w:t xml:space="preserve"> “especializados”</w:t>
      </w:r>
      <w:r w:rsidR="00234591">
        <w:rPr>
          <w:rFonts w:ascii="Arial" w:eastAsia="Times New Roman" w:hAnsi="Arial" w:cs="Arial"/>
          <w:sz w:val="20"/>
          <w:szCs w:val="20"/>
          <w:lang w:eastAsia="pt-BR"/>
        </w:rPr>
        <w:t xml:space="preserve"> e “técnicos”</w:t>
      </w:r>
      <w:r w:rsidR="003E5807">
        <w:rPr>
          <w:rFonts w:ascii="Arial" w:eastAsia="Times New Roman" w:hAnsi="Arial" w:cs="Arial"/>
          <w:sz w:val="20"/>
          <w:szCs w:val="20"/>
          <w:lang w:eastAsia="pt-BR"/>
        </w:rPr>
        <w:t xml:space="preserve"> </w:t>
      </w:r>
      <w:r w:rsidR="00234591">
        <w:rPr>
          <w:rFonts w:ascii="Arial" w:eastAsia="Times New Roman" w:hAnsi="Arial" w:cs="Arial"/>
          <w:sz w:val="20"/>
          <w:szCs w:val="20"/>
          <w:lang w:eastAsia="pt-BR"/>
        </w:rPr>
        <w:t>denominadas pelo legislador, denotam a importância relevante a estes tipos de serviços, sendo inclusive requisito para inexigibilidade de licitação (art. 25, inciso II, lei 8.666/93). As três palavras qualificadoras do Serviço mencionado afastam o uso do termo “comum”</w:t>
      </w:r>
      <w:r w:rsidR="004D147C">
        <w:rPr>
          <w:rFonts w:ascii="Arial" w:eastAsia="Times New Roman" w:hAnsi="Arial" w:cs="Arial"/>
          <w:sz w:val="20"/>
          <w:szCs w:val="20"/>
          <w:lang w:eastAsia="pt-BR"/>
        </w:rPr>
        <w:t xml:space="preserve"> empregado para outros tipos de serviços</w:t>
      </w:r>
      <w:r w:rsidR="005454E0">
        <w:rPr>
          <w:rFonts w:ascii="Arial" w:eastAsia="Times New Roman" w:hAnsi="Arial" w:cs="Arial"/>
          <w:sz w:val="20"/>
          <w:szCs w:val="20"/>
          <w:lang w:eastAsia="pt-BR"/>
        </w:rPr>
        <w:t xml:space="preserve"> de engenharia</w:t>
      </w:r>
      <w:r w:rsidR="004D147C">
        <w:rPr>
          <w:rFonts w:ascii="Arial" w:eastAsia="Times New Roman" w:hAnsi="Arial" w:cs="Arial"/>
          <w:sz w:val="20"/>
          <w:szCs w:val="20"/>
          <w:lang w:eastAsia="pt-BR"/>
        </w:rPr>
        <w:t>.</w:t>
      </w:r>
    </w:p>
    <w:p w:rsidR="00234591" w:rsidRDefault="00234591" w:rsidP="004817DD">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p>
    <w:p w:rsidR="00234591" w:rsidRDefault="00234591" w:rsidP="004817DD">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r>
        <w:rPr>
          <w:rFonts w:ascii="Arial" w:eastAsia="Times New Roman" w:hAnsi="Arial" w:cs="Arial"/>
          <w:sz w:val="20"/>
          <w:szCs w:val="20"/>
          <w:lang w:eastAsia="pt-BR"/>
        </w:rPr>
        <w:t xml:space="preserve">Então o objeto a ser contratado fica caracterizado como </w:t>
      </w:r>
      <w:r w:rsidRPr="006C6687">
        <w:rPr>
          <w:rFonts w:ascii="Arial" w:eastAsia="Times New Roman" w:hAnsi="Arial" w:cs="Arial"/>
          <w:b/>
          <w:sz w:val="20"/>
          <w:szCs w:val="20"/>
          <w:lang w:eastAsia="pt-BR"/>
        </w:rPr>
        <w:t>obra de engenharia</w:t>
      </w:r>
      <w:r>
        <w:rPr>
          <w:rFonts w:ascii="Arial" w:eastAsia="Times New Roman" w:hAnsi="Arial" w:cs="Arial"/>
          <w:sz w:val="20"/>
          <w:szCs w:val="20"/>
          <w:lang w:eastAsia="pt-BR"/>
        </w:rPr>
        <w:t>. Mesmo que alguém considere como serviço de engenharia, ainda assim, não será possível a utilização de pregão como modalidade de licitação</w:t>
      </w:r>
      <w:r w:rsidR="006C6687">
        <w:rPr>
          <w:rFonts w:ascii="Arial" w:eastAsia="Times New Roman" w:hAnsi="Arial" w:cs="Arial"/>
          <w:sz w:val="20"/>
          <w:szCs w:val="20"/>
          <w:lang w:eastAsia="pt-BR"/>
        </w:rPr>
        <w:t>, uma vez que é obrigatória a Anotação de Responsabilidade Técnica para os responsáveis pela obra e fiscalização do referido “serviço”. Nas palavras “serviço”, com o de aspas significa o serviço de modo amplo e não os serviços de modo estrito como entendido no inciso II, art. 6 da lei 8.666/93.</w:t>
      </w:r>
    </w:p>
    <w:p w:rsidR="004817DD" w:rsidRDefault="004817DD" w:rsidP="00DE1CAB">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p>
    <w:p w:rsidR="005454E0" w:rsidRDefault="005454E0" w:rsidP="005454E0">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r>
        <w:rPr>
          <w:rFonts w:ascii="Arial" w:eastAsia="Times New Roman" w:hAnsi="Arial" w:cs="Arial"/>
          <w:sz w:val="20"/>
          <w:szCs w:val="20"/>
          <w:lang w:eastAsia="pt-BR"/>
        </w:rPr>
        <w:tab/>
        <w:t>O descarte do para raio radioativo parece não ser considerado como serviço de engenharia, no entanto, de acordo com a doutrina jurídica de que “quem pode mais, pode menos”, pelo fato deste serviço estar incorporado ao da obra, deve-se escolher a forma mais complexa de procedimento, que são as modalidades de licitação da lei 8.666/93, em detrimento do pregão.</w:t>
      </w:r>
    </w:p>
    <w:p w:rsidR="005454E0" w:rsidRPr="004817DD" w:rsidRDefault="005454E0" w:rsidP="00DE1CAB">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p>
    <w:p w:rsidR="004817DD" w:rsidRPr="004817DD" w:rsidRDefault="004817DD" w:rsidP="004817DD">
      <w:pPr>
        <w:widowControl w:val="0"/>
        <w:overflowPunct w:val="0"/>
        <w:autoSpaceDE w:val="0"/>
        <w:autoSpaceDN w:val="0"/>
        <w:adjustRightInd w:val="0"/>
        <w:spacing w:after="0" w:line="240" w:lineRule="auto"/>
        <w:ind w:left="851" w:hanging="851"/>
        <w:jc w:val="both"/>
        <w:textAlignment w:val="baseline"/>
        <w:rPr>
          <w:rFonts w:ascii="Arial" w:eastAsia="Times New Roman" w:hAnsi="Arial" w:cs="Times New Roman"/>
          <w:b/>
          <w:sz w:val="24"/>
          <w:szCs w:val="20"/>
          <w:lang w:eastAsia="pt-BR"/>
        </w:rPr>
      </w:pPr>
      <w:r w:rsidRPr="004817DD">
        <w:rPr>
          <w:rFonts w:ascii="Arial" w:eastAsia="Times New Roman" w:hAnsi="Arial" w:cs="Times New Roman"/>
          <w:b/>
          <w:sz w:val="24"/>
          <w:szCs w:val="20"/>
          <w:lang w:eastAsia="pt-BR"/>
        </w:rPr>
        <w:t xml:space="preserve">3.2 </w:t>
      </w:r>
      <w:r w:rsidR="00DE55AB" w:rsidRPr="004817DD">
        <w:rPr>
          <w:rFonts w:ascii="Arial" w:eastAsia="Times New Roman" w:hAnsi="Arial" w:cs="Times New Roman"/>
          <w:b/>
          <w:sz w:val="24"/>
          <w:szCs w:val="20"/>
          <w:lang w:eastAsia="pt-BR"/>
        </w:rPr>
        <w:t>Parcelamento do Objeto</w:t>
      </w:r>
    </w:p>
    <w:p w:rsidR="004817DD" w:rsidRDefault="004817DD" w:rsidP="004817DD">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p>
    <w:p w:rsidR="0002256C" w:rsidRDefault="00DE55AB" w:rsidP="003248AD">
      <w:pPr>
        <w:widowControl w:val="0"/>
        <w:overflowPunct w:val="0"/>
        <w:autoSpaceDE w:val="0"/>
        <w:autoSpaceDN w:val="0"/>
        <w:adjustRightInd w:val="0"/>
        <w:spacing w:after="0" w:line="240" w:lineRule="auto"/>
        <w:ind w:firstLine="708"/>
        <w:jc w:val="both"/>
        <w:textAlignment w:val="baseline"/>
        <w:rPr>
          <w:rFonts w:ascii="Arial" w:eastAsia="Times New Roman" w:hAnsi="Arial" w:cs="Arial"/>
          <w:sz w:val="20"/>
          <w:szCs w:val="20"/>
          <w:lang w:eastAsia="pt-BR"/>
        </w:rPr>
      </w:pPr>
      <w:r w:rsidRPr="004817DD">
        <w:rPr>
          <w:rFonts w:ascii="Arial" w:eastAsia="Times New Roman" w:hAnsi="Arial" w:cs="Arial"/>
          <w:sz w:val="20"/>
          <w:szCs w:val="20"/>
          <w:lang w:eastAsia="pt-BR"/>
        </w:rPr>
        <w:t xml:space="preserve">O parcelamento do objeto em questão traria inviabilidade econômica para a Administração, uma vez </w:t>
      </w:r>
      <w:r w:rsidR="0002256C" w:rsidRPr="004817DD">
        <w:rPr>
          <w:rFonts w:ascii="Arial" w:eastAsia="Times New Roman" w:hAnsi="Arial" w:cs="Arial"/>
          <w:sz w:val="20"/>
          <w:szCs w:val="20"/>
          <w:lang w:eastAsia="pt-BR"/>
        </w:rPr>
        <w:t xml:space="preserve">que as etapas dos projetos possuem conteúdos que se relacionam entre </w:t>
      </w:r>
      <w:r w:rsidR="0002256C" w:rsidRPr="004817DD">
        <w:rPr>
          <w:rFonts w:ascii="Arial" w:eastAsia="Times New Roman" w:hAnsi="Arial" w:cs="Arial"/>
          <w:sz w:val="20"/>
          <w:szCs w:val="20"/>
          <w:lang w:eastAsia="pt-BR"/>
        </w:rPr>
        <w:lastRenderedPageBreak/>
        <w:t>si. O parcelamento acarretaria em aumento de trabalho, pois os executores das últimas etapas teriam que analisar tudo que foi feito anteriormente.</w:t>
      </w:r>
      <w:r w:rsidR="006C6687">
        <w:rPr>
          <w:rFonts w:ascii="Arial" w:eastAsia="Times New Roman" w:hAnsi="Arial" w:cs="Arial"/>
          <w:sz w:val="20"/>
          <w:szCs w:val="20"/>
          <w:lang w:eastAsia="pt-BR"/>
        </w:rPr>
        <w:t xml:space="preserve"> Portanto se optou pelo </w:t>
      </w:r>
      <w:r w:rsidR="006C6687" w:rsidRPr="006C6687">
        <w:rPr>
          <w:rFonts w:ascii="Arial" w:eastAsia="Times New Roman" w:hAnsi="Arial" w:cs="Arial"/>
          <w:b/>
          <w:sz w:val="20"/>
          <w:szCs w:val="20"/>
          <w:lang w:eastAsia="pt-BR"/>
        </w:rPr>
        <w:t>não parcelamento</w:t>
      </w:r>
      <w:r w:rsidR="006C6687">
        <w:rPr>
          <w:rFonts w:ascii="Arial" w:eastAsia="Times New Roman" w:hAnsi="Arial" w:cs="Arial"/>
          <w:sz w:val="20"/>
          <w:szCs w:val="20"/>
          <w:lang w:eastAsia="pt-BR"/>
        </w:rPr>
        <w:t xml:space="preserve"> do objeto.</w:t>
      </w:r>
    </w:p>
    <w:p w:rsidR="003248AD" w:rsidRDefault="003248AD" w:rsidP="003248AD">
      <w:pPr>
        <w:widowControl w:val="0"/>
        <w:overflowPunct w:val="0"/>
        <w:autoSpaceDE w:val="0"/>
        <w:autoSpaceDN w:val="0"/>
        <w:adjustRightInd w:val="0"/>
        <w:spacing w:after="0" w:line="240" w:lineRule="auto"/>
        <w:ind w:firstLine="708"/>
        <w:jc w:val="both"/>
        <w:textAlignment w:val="baseline"/>
        <w:rPr>
          <w:rFonts w:ascii="Arial" w:eastAsia="Times New Roman" w:hAnsi="Arial" w:cs="Arial"/>
          <w:sz w:val="20"/>
          <w:szCs w:val="20"/>
          <w:lang w:eastAsia="pt-BR"/>
        </w:rPr>
      </w:pPr>
    </w:p>
    <w:p w:rsidR="003248AD" w:rsidRDefault="003248AD" w:rsidP="003248AD">
      <w:pPr>
        <w:widowControl w:val="0"/>
        <w:overflowPunct w:val="0"/>
        <w:autoSpaceDE w:val="0"/>
        <w:autoSpaceDN w:val="0"/>
        <w:adjustRightInd w:val="0"/>
        <w:spacing w:after="0" w:line="240" w:lineRule="auto"/>
        <w:ind w:firstLine="708"/>
        <w:jc w:val="both"/>
        <w:textAlignment w:val="baseline"/>
        <w:rPr>
          <w:rFonts w:ascii="Arial" w:eastAsia="Times New Roman" w:hAnsi="Arial" w:cs="Arial"/>
          <w:sz w:val="20"/>
          <w:szCs w:val="20"/>
          <w:lang w:eastAsia="pt-BR"/>
        </w:rPr>
      </w:pPr>
      <w:r>
        <w:rPr>
          <w:rFonts w:ascii="Arial" w:eastAsia="Times New Roman" w:hAnsi="Arial" w:cs="Arial"/>
          <w:sz w:val="20"/>
          <w:szCs w:val="20"/>
          <w:lang w:eastAsia="pt-BR"/>
        </w:rPr>
        <w:t xml:space="preserve">Existe a possibilidade de se realizar “um parcelamento” do objeto para separar o descarte do material radioativo do restante da obra, no entanto, existe a possibilidade deste procedimento trazer prejuízo para a obra, uma vez que sua morosidade pode </w:t>
      </w:r>
      <w:r w:rsidR="00D73F27">
        <w:rPr>
          <w:rFonts w:ascii="Arial" w:eastAsia="Times New Roman" w:hAnsi="Arial" w:cs="Arial"/>
          <w:sz w:val="20"/>
          <w:szCs w:val="20"/>
          <w:lang w:eastAsia="pt-BR"/>
        </w:rPr>
        <w:t>comprometer o tempo de início</w:t>
      </w:r>
      <w:r>
        <w:rPr>
          <w:rFonts w:ascii="Arial" w:eastAsia="Times New Roman" w:hAnsi="Arial" w:cs="Arial"/>
          <w:sz w:val="20"/>
          <w:szCs w:val="20"/>
          <w:lang w:eastAsia="pt-BR"/>
        </w:rPr>
        <w:t xml:space="preserve"> </w:t>
      </w:r>
      <w:r w:rsidR="00D73F27">
        <w:rPr>
          <w:rFonts w:ascii="Arial" w:eastAsia="Times New Roman" w:hAnsi="Arial" w:cs="Arial"/>
          <w:sz w:val="20"/>
          <w:szCs w:val="20"/>
          <w:lang w:eastAsia="pt-BR"/>
        </w:rPr>
        <w:t>d</w:t>
      </w:r>
      <w:r>
        <w:rPr>
          <w:rFonts w:ascii="Arial" w:eastAsia="Times New Roman" w:hAnsi="Arial" w:cs="Arial"/>
          <w:sz w:val="20"/>
          <w:szCs w:val="20"/>
          <w:lang w:eastAsia="pt-BR"/>
        </w:rPr>
        <w:t>a obra. Então é menos dispendioso que seja tudo efetuado de uma única vez</w:t>
      </w:r>
      <w:r w:rsidR="00D73F27">
        <w:rPr>
          <w:rFonts w:ascii="Arial" w:eastAsia="Times New Roman" w:hAnsi="Arial" w:cs="Arial"/>
          <w:sz w:val="20"/>
          <w:szCs w:val="20"/>
          <w:lang w:eastAsia="pt-BR"/>
        </w:rPr>
        <w:t xml:space="preserve"> e ainda</w:t>
      </w:r>
      <w:r>
        <w:rPr>
          <w:rFonts w:ascii="Arial" w:eastAsia="Times New Roman" w:hAnsi="Arial" w:cs="Arial"/>
          <w:sz w:val="20"/>
          <w:szCs w:val="20"/>
          <w:lang w:eastAsia="pt-BR"/>
        </w:rPr>
        <w:t xml:space="preserve"> a agilizar o processo. Logo a obra será contratada de uma única vez (</w:t>
      </w:r>
      <w:r w:rsidRPr="003248AD">
        <w:rPr>
          <w:rFonts w:ascii="Arial" w:eastAsia="Times New Roman" w:hAnsi="Arial" w:cs="Arial"/>
          <w:b/>
          <w:sz w:val="20"/>
          <w:szCs w:val="20"/>
          <w:lang w:eastAsia="pt-BR"/>
        </w:rPr>
        <w:t>sem parcelamento</w:t>
      </w:r>
      <w:r>
        <w:rPr>
          <w:rFonts w:ascii="Arial" w:eastAsia="Times New Roman" w:hAnsi="Arial" w:cs="Arial"/>
          <w:sz w:val="20"/>
          <w:szCs w:val="20"/>
          <w:lang w:eastAsia="pt-BR"/>
        </w:rPr>
        <w:t>).</w:t>
      </w:r>
    </w:p>
    <w:p w:rsidR="004817DD" w:rsidRPr="004817DD" w:rsidRDefault="004817DD" w:rsidP="004817DD">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p>
    <w:p w:rsidR="0002256C" w:rsidRPr="004817DD" w:rsidRDefault="004817DD" w:rsidP="004817DD">
      <w:pPr>
        <w:widowControl w:val="0"/>
        <w:overflowPunct w:val="0"/>
        <w:autoSpaceDE w:val="0"/>
        <w:autoSpaceDN w:val="0"/>
        <w:adjustRightInd w:val="0"/>
        <w:spacing w:after="0" w:line="240" w:lineRule="auto"/>
        <w:ind w:left="851" w:hanging="851"/>
        <w:jc w:val="both"/>
        <w:textAlignment w:val="baseline"/>
        <w:rPr>
          <w:rFonts w:ascii="Arial" w:eastAsia="Times New Roman" w:hAnsi="Arial" w:cs="Times New Roman"/>
          <w:b/>
          <w:sz w:val="24"/>
          <w:szCs w:val="20"/>
          <w:lang w:eastAsia="pt-BR"/>
        </w:rPr>
      </w:pPr>
      <w:r w:rsidRPr="004817DD">
        <w:rPr>
          <w:rFonts w:ascii="Arial" w:eastAsia="Times New Roman" w:hAnsi="Arial" w:cs="Times New Roman"/>
          <w:b/>
          <w:sz w:val="24"/>
          <w:szCs w:val="20"/>
          <w:lang w:eastAsia="pt-BR"/>
        </w:rPr>
        <w:t xml:space="preserve">3.3 </w:t>
      </w:r>
      <w:r w:rsidR="00D518BD">
        <w:rPr>
          <w:rFonts w:ascii="Arial" w:eastAsia="Times New Roman" w:hAnsi="Arial" w:cs="Times New Roman"/>
          <w:b/>
          <w:sz w:val="24"/>
          <w:szCs w:val="20"/>
          <w:lang w:eastAsia="pt-BR"/>
        </w:rPr>
        <w:t>Método de Execução</w:t>
      </w:r>
    </w:p>
    <w:p w:rsidR="004817DD" w:rsidRDefault="004817DD" w:rsidP="004817DD">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p>
    <w:p w:rsidR="0002256C" w:rsidRPr="004817DD" w:rsidRDefault="00EF4649" w:rsidP="004817DD">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r w:rsidRPr="004817DD">
        <w:rPr>
          <w:rFonts w:ascii="Arial" w:eastAsia="Times New Roman" w:hAnsi="Arial" w:cs="Arial"/>
          <w:sz w:val="20"/>
          <w:szCs w:val="20"/>
          <w:lang w:eastAsia="pt-BR"/>
        </w:rPr>
        <w:t xml:space="preserve">A empreitada para a contratação do seguinte objeto mais adequada </w:t>
      </w:r>
      <w:r w:rsidRPr="00D518BD">
        <w:rPr>
          <w:rFonts w:ascii="Arial" w:eastAsia="Times New Roman" w:hAnsi="Arial" w:cs="Arial"/>
          <w:b/>
          <w:sz w:val="20"/>
          <w:szCs w:val="20"/>
          <w:lang w:eastAsia="pt-BR"/>
        </w:rPr>
        <w:t xml:space="preserve">é a </w:t>
      </w:r>
      <w:proofErr w:type="spellStart"/>
      <w:r w:rsidRPr="00D518BD">
        <w:rPr>
          <w:rFonts w:ascii="Arial" w:eastAsia="Times New Roman" w:hAnsi="Arial" w:cs="Arial"/>
          <w:b/>
          <w:sz w:val="20"/>
          <w:szCs w:val="20"/>
          <w:lang w:eastAsia="pt-BR"/>
        </w:rPr>
        <w:t>por</w:t>
      </w:r>
      <w:proofErr w:type="spellEnd"/>
      <w:r w:rsidRPr="00D518BD">
        <w:rPr>
          <w:rFonts w:ascii="Arial" w:eastAsia="Times New Roman" w:hAnsi="Arial" w:cs="Arial"/>
          <w:b/>
          <w:sz w:val="20"/>
          <w:szCs w:val="20"/>
          <w:lang w:eastAsia="pt-BR"/>
        </w:rPr>
        <w:t xml:space="preserve"> preço global</w:t>
      </w:r>
      <w:r w:rsidRPr="004817DD">
        <w:rPr>
          <w:rFonts w:ascii="Arial" w:eastAsia="Times New Roman" w:hAnsi="Arial" w:cs="Arial"/>
          <w:sz w:val="20"/>
          <w:szCs w:val="20"/>
          <w:lang w:eastAsia="pt-BR"/>
        </w:rPr>
        <w:t>, conforme sugestão do acordão 1977/2013 do Tribunal de Contas da União. Este tipo de empreitada possui vantagens como: simplicidade nas medições, menor custo para a fiscalização, valor fixo do contrato, restringe os aditivos, dificulta o jogo de planilha e incentiva o cumprimento dos prazos.</w:t>
      </w:r>
    </w:p>
    <w:p w:rsidR="00EF4649" w:rsidRPr="004817DD" w:rsidRDefault="00EF4649" w:rsidP="004817DD">
      <w:pPr>
        <w:widowControl w:val="0"/>
        <w:overflowPunct w:val="0"/>
        <w:autoSpaceDE w:val="0"/>
        <w:autoSpaceDN w:val="0"/>
        <w:adjustRightInd w:val="0"/>
        <w:spacing w:after="0" w:line="240" w:lineRule="auto"/>
        <w:ind w:left="851" w:hanging="851"/>
        <w:jc w:val="both"/>
        <w:textAlignment w:val="baseline"/>
        <w:rPr>
          <w:rFonts w:ascii="Arial" w:eastAsia="Times New Roman" w:hAnsi="Arial" w:cs="Times New Roman"/>
          <w:b/>
          <w:sz w:val="24"/>
          <w:szCs w:val="20"/>
          <w:lang w:eastAsia="pt-BR"/>
        </w:rPr>
      </w:pPr>
    </w:p>
    <w:p w:rsidR="00EF4649" w:rsidRPr="004817DD" w:rsidRDefault="004817DD" w:rsidP="004817DD">
      <w:pPr>
        <w:widowControl w:val="0"/>
        <w:overflowPunct w:val="0"/>
        <w:autoSpaceDE w:val="0"/>
        <w:autoSpaceDN w:val="0"/>
        <w:adjustRightInd w:val="0"/>
        <w:spacing w:after="0" w:line="240" w:lineRule="auto"/>
        <w:ind w:left="851" w:hanging="851"/>
        <w:jc w:val="both"/>
        <w:textAlignment w:val="baseline"/>
        <w:rPr>
          <w:rFonts w:ascii="Arial" w:eastAsia="Times New Roman" w:hAnsi="Arial" w:cs="Times New Roman"/>
          <w:b/>
          <w:sz w:val="24"/>
          <w:szCs w:val="20"/>
          <w:lang w:eastAsia="pt-BR"/>
        </w:rPr>
      </w:pPr>
      <w:r w:rsidRPr="004817DD">
        <w:rPr>
          <w:rFonts w:ascii="Arial" w:eastAsia="Times New Roman" w:hAnsi="Arial" w:cs="Times New Roman"/>
          <w:b/>
          <w:sz w:val="24"/>
          <w:szCs w:val="20"/>
          <w:lang w:eastAsia="pt-BR"/>
        </w:rPr>
        <w:t xml:space="preserve">3.4 </w:t>
      </w:r>
      <w:r w:rsidR="006C6687">
        <w:rPr>
          <w:rFonts w:ascii="Arial" w:eastAsia="Times New Roman" w:hAnsi="Arial" w:cs="Times New Roman"/>
          <w:b/>
          <w:sz w:val="24"/>
          <w:szCs w:val="20"/>
          <w:lang w:eastAsia="pt-BR"/>
        </w:rPr>
        <w:t>Dispensa de Licitação</w:t>
      </w:r>
    </w:p>
    <w:p w:rsidR="006C6687" w:rsidRDefault="006C6687" w:rsidP="004817DD">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p>
    <w:p w:rsidR="006C6687" w:rsidRDefault="00F94AF7" w:rsidP="004817DD">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0"/>
          <w:szCs w:val="20"/>
          <w:lang w:eastAsia="pt-BR"/>
        </w:rPr>
      </w:pPr>
      <w:r>
        <w:rPr>
          <w:rFonts w:ascii="Arial" w:eastAsia="Times New Roman" w:hAnsi="Arial" w:cs="Arial"/>
          <w:sz w:val="20"/>
          <w:szCs w:val="20"/>
          <w:lang w:eastAsia="pt-BR"/>
        </w:rPr>
        <w:t>É possível a realização de contratação direta por meio de dispensa de licitação</w:t>
      </w:r>
      <w:r w:rsidR="006C6687" w:rsidRPr="00F94AF7">
        <w:rPr>
          <w:rFonts w:ascii="Arial" w:eastAsia="Times New Roman" w:hAnsi="Arial" w:cs="Arial"/>
          <w:sz w:val="20"/>
          <w:szCs w:val="20"/>
          <w:lang w:eastAsia="pt-BR"/>
        </w:rPr>
        <w:t xml:space="preserve"> com base no inciso</w:t>
      </w:r>
      <w:r w:rsidR="00D518BD" w:rsidRPr="00F94AF7">
        <w:rPr>
          <w:rFonts w:ascii="Arial" w:eastAsia="Times New Roman" w:hAnsi="Arial" w:cs="Arial"/>
          <w:sz w:val="20"/>
          <w:szCs w:val="20"/>
          <w:lang w:eastAsia="pt-BR"/>
        </w:rPr>
        <w:t xml:space="preserve"> V do artigo 24 da lei 8.666/93.</w:t>
      </w:r>
      <w:r w:rsidR="00F75E67">
        <w:rPr>
          <w:rFonts w:ascii="Arial" w:eastAsia="Times New Roman" w:hAnsi="Arial" w:cs="Arial"/>
          <w:sz w:val="20"/>
          <w:szCs w:val="20"/>
          <w:lang w:eastAsia="pt-BR"/>
        </w:rPr>
        <w:t xml:space="preserve"> N</w:t>
      </w:r>
      <w:r w:rsidR="00D518BD" w:rsidRPr="00F94AF7">
        <w:rPr>
          <w:rFonts w:ascii="Arial" w:eastAsia="Times New Roman" w:hAnsi="Arial" w:cs="Arial"/>
          <w:sz w:val="20"/>
          <w:szCs w:val="20"/>
          <w:lang w:eastAsia="pt-BR"/>
        </w:rPr>
        <w:t>ão houve interessados nas duas últimas licitações (carta-convite 03/2009 e carta-convite 04/2010), que ocorreram em 22/09/2010 e 08/11/2010, respectivamente.</w:t>
      </w:r>
      <w:r w:rsidR="00793C2D">
        <w:rPr>
          <w:rFonts w:ascii="Arial" w:eastAsia="Times New Roman" w:hAnsi="Arial" w:cs="Arial"/>
          <w:sz w:val="20"/>
          <w:szCs w:val="20"/>
          <w:lang w:eastAsia="pt-BR"/>
        </w:rPr>
        <w:t xml:space="preserve"> </w:t>
      </w:r>
      <w:r w:rsidR="008D3CAF">
        <w:rPr>
          <w:rFonts w:ascii="Arial" w:eastAsia="Times New Roman" w:hAnsi="Arial" w:cs="Arial"/>
          <w:sz w:val="20"/>
          <w:szCs w:val="20"/>
          <w:lang w:eastAsia="pt-BR"/>
        </w:rPr>
        <w:t xml:space="preserve">O valor anterior orçado pela Administração foi de R$ 81.947,80 (vide </w:t>
      </w:r>
      <w:proofErr w:type="spellStart"/>
      <w:r w:rsidR="008D3CAF">
        <w:rPr>
          <w:rFonts w:ascii="Arial" w:eastAsia="Times New Roman" w:hAnsi="Arial" w:cs="Arial"/>
          <w:sz w:val="20"/>
          <w:szCs w:val="20"/>
          <w:lang w:eastAsia="pt-BR"/>
        </w:rPr>
        <w:t>Fls</w:t>
      </w:r>
      <w:proofErr w:type="spellEnd"/>
      <w:r w:rsidR="008D3CAF">
        <w:rPr>
          <w:rFonts w:ascii="Arial" w:eastAsia="Times New Roman" w:hAnsi="Arial" w:cs="Arial"/>
          <w:sz w:val="20"/>
          <w:szCs w:val="20"/>
          <w:lang w:eastAsia="pt-BR"/>
        </w:rPr>
        <w:t xml:space="preserve"> 270 e 301) e a licitação foi considerada deserta (</w:t>
      </w:r>
      <w:proofErr w:type="spellStart"/>
      <w:r w:rsidR="008D3CAF">
        <w:rPr>
          <w:rFonts w:ascii="Arial" w:eastAsia="Times New Roman" w:hAnsi="Arial" w:cs="Arial"/>
          <w:sz w:val="20"/>
          <w:szCs w:val="20"/>
          <w:lang w:eastAsia="pt-BR"/>
        </w:rPr>
        <w:t>Fls</w:t>
      </w:r>
      <w:proofErr w:type="spellEnd"/>
      <w:r w:rsidR="008D3CAF">
        <w:rPr>
          <w:rFonts w:ascii="Arial" w:eastAsia="Times New Roman" w:hAnsi="Arial" w:cs="Arial"/>
          <w:sz w:val="20"/>
          <w:szCs w:val="20"/>
          <w:lang w:eastAsia="pt-BR"/>
        </w:rPr>
        <w:t xml:space="preserve"> 302). Já o valor atual (janeiro de 2015) é de R$ 53.4076,53, mostrando que o valor anterior orçado da obra é exequível. Agora resta saber se a realização de novo certame licitatório pode acarretar prejuízo para a licitação.</w:t>
      </w:r>
      <w:r w:rsidR="008D3CAF" w:rsidRPr="00CB331D">
        <w:rPr>
          <w:rFonts w:ascii="Arial" w:eastAsia="Times New Roman" w:hAnsi="Arial" w:cs="Arial"/>
          <w:sz w:val="20"/>
          <w:szCs w:val="20"/>
          <w:u w:val="single"/>
          <w:lang w:eastAsia="pt-BR"/>
        </w:rPr>
        <w:t xml:space="preserve"> Como o novo valor orçado é inferior ao antigo, aquele (o menor) será o limite adotado para a realização da dispensa</w:t>
      </w:r>
      <w:r w:rsidR="008D3CAF">
        <w:rPr>
          <w:rFonts w:ascii="Arial" w:eastAsia="Times New Roman" w:hAnsi="Arial" w:cs="Arial"/>
          <w:sz w:val="20"/>
          <w:szCs w:val="20"/>
          <w:lang w:eastAsia="pt-BR"/>
        </w:rPr>
        <w:t>, caso a Administração considere conveniente e oportuno, demonstrado os requisitos no inciso V do artigo 24 da Lei das Licitações.</w:t>
      </w:r>
    </w:p>
    <w:p w:rsidR="00CB331D" w:rsidRDefault="00CB331D" w:rsidP="00CB331D">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p>
    <w:p w:rsidR="00CB331D" w:rsidRDefault="00CB331D" w:rsidP="00CB331D">
      <w:pPr>
        <w:widowControl w:val="0"/>
        <w:overflowPunct w:val="0"/>
        <w:autoSpaceDE w:val="0"/>
        <w:autoSpaceDN w:val="0"/>
        <w:adjustRightInd w:val="0"/>
        <w:spacing w:after="0" w:line="240" w:lineRule="auto"/>
        <w:jc w:val="both"/>
        <w:textAlignment w:val="baseline"/>
        <w:rPr>
          <w:rFonts w:ascii="Arial" w:hAnsi="Arial" w:cs="Arial"/>
          <w:sz w:val="20"/>
          <w:szCs w:val="20"/>
        </w:rPr>
      </w:pPr>
      <w:r>
        <w:rPr>
          <w:rFonts w:ascii="Arial" w:eastAsia="Times New Roman" w:hAnsi="Arial" w:cs="Arial"/>
          <w:sz w:val="20"/>
          <w:szCs w:val="20"/>
          <w:lang w:eastAsia="pt-BR"/>
        </w:rPr>
        <w:t>“</w:t>
      </w:r>
      <w:r>
        <w:rPr>
          <w:rFonts w:ascii="Arial" w:hAnsi="Arial" w:cs="Arial"/>
          <w:sz w:val="20"/>
          <w:szCs w:val="20"/>
        </w:rPr>
        <w:t>Art. 24.  É dispensável a licitação:</w:t>
      </w:r>
    </w:p>
    <w:p w:rsidR="00CB331D" w:rsidRDefault="00CB331D" w:rsidP="00CB331D">
      <w:pPr>
        <w:widowControl w:val="0"/>
        <w:overflowPunct w:val="0"/>
        <w:autoSpaceDE w:val="0"/>
        <w:autoSpaceDN w:val="0"/>
        <w:adjustRightInd w:val="0"/>
        <w:spacing w:after="0" w:line="240" w:lineRule="auto"/>
        <w:jc w:val="both"/>
        <w:textAlignment w:val="baseline"/>
        <w:rPr>
          <w:rFonts w:ascii="Arial" w:hAnsi="Arial" w:cs="Arial"/>
          <w:sz w:val="20"/>
          <w:szCs w:val="20"/>
        </w:rPr>
      </w:pPr>
      <w:r>
        <w:rPr>
          <w:rFonts w:ascii="Arial" w:hAnsi="Arial" w:cs="Arial"/>
          <w:sz w:val="20"/>
          <w:szCs w:val="20"/>
        </w:rPr>
        <w:t>(...)</w:t>
      </w:r>
    </w:p>
    <w:p w:rsidR="00CB331D" w:rsidRDefault="00CB331D" w:rsidP="00CB331D">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r>
        <w:rPr>
          <w:rFonts w:ascii="Arial" w:hAnsi="Arial" w:cs="Arial"/>
          <w:sz w:val="20"/>
          <w:szCs w:val="20"/>
        </w:rPr>
        <w:t xml:space="preserve">V - quando não acudirem interessados à licitação anterior e </w:t>
      </w:r>
      <w:proofErr w:type="spellStart"/>
      <w:r>
        <w:rPr>
          <w:rFonts w:ascii="Arial" w:hAnsi="Arial" w:cs="Arial"/>
          <w:sz w:val="20"/>
          <w:szCs w:val="20"/>
        </w:rPr>
        <w:t>esta</w:t>
      </w:r>
      <w:proofErr w:type="spellEnd"/>
      <w:r>
        <w:rPr>
          <w:rFonts w:ascii="Arial" w:hAnsi="Arial" w:cs="Arial"/>
          <w:sz w:val="20"/>
          <w:szCs w:val="20"/>
        </w:rPr>
        <w:t>, justificadamente, não puder ser repetida sem prejuízo para a Administração, mantidas, neste caso, todas as condições preestabelecidas;”</w:t>
      </w:r>
    </w:p>
    <w:p w:rsidR="00B50DDE" w:rsidRDefault="00B50DDE" w:rsidP="005E06D1">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p>
    <w:p w:rsidR="00B50DDE" w:rsidRDefault="00B50DDE" w:rsidP="005E06D1">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r>
        <w:rPr>
          <w:rFonts w:ascii="Arial" w:eastAsia="Times New Roman" w:hAnsi="Arial" w:cs="Arial"/>
          <w:sz w:val="20"/>
          <w:szCs w:val="20"/>
          <w:lang w:eastAsia="pt-BR"/>
        </w:rPr>
        <w:tab/>
        <w:t>As condições preestabelecidas não se aplica, no caso em questão, uma vez que não há conhecimento da existência de projeto básico (plantas, vistas, desenhos, especificações técnicas) das contratações anteriores. O projeto executivo atual (anteprojeto, projeto legal e executivo) foi realizado pelo Departamento de Polícia Federal, finalizado em janeiro de 2015.</w:t>
      </w:r>
      <w:r w:rsidR="00640970">
        <w:rPr>
          <w:rFonts w:ascii="Arial" w:eastAsia="Times New Roman" w:hAnsi="Arial" w:cs="Arial"/>
          <w:sz w:val="20"/>
          <w:szCs w:val="20"/>
          <w:lang w:eastAsia="pt-BR"/>
        </w:rPr>
        <w:t xml:space="preserve"> Outro motivo que justifica a não adoção de dispensa de licitação é de caráter ético e temporal, mesmos que os valores antigos sejam inferiores aos atuais.</w:t>
      </w:r>
    </w:p>
    <w:p w:rsidR="00B50DDE" w:rsidRDefault="00B50DDE" w:rsidP="00F92E2B">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p>
    <w:p w:rsidR="00F92E2B" w:rsidRPr="004E5295" w:rsidRDefault="005E06D1" w:rsidP="004E5295">
      <w:pPr>
        <w:widowControl w:val="0"/>
        <w:overflowPunct w:val="0"/>
        <w:autoSpaceDE w:val="0"/>
        <w:autoSpaceDN w:val="0"/>
        <w:adjustRightInd w:val="0"/>
        <w:spacing w:after="0" w:line="240" w:lineRule="auto"/>
        <w:ind w:left="851" w:hanging="851"/>
        <w:jc w:val="both"/>
        <w:textAlignment w:val="baseline"/>
        <w:rPr>
          <w:rFonts w:ascii="Arial" w:eastAsia="Times New Roman" w:hAnsi="Arial" w:cs="Times New Roman"/>
          <w:b/>
          <w:sz w:val="24"/>
          <w:szCs w:val="20"/>
          <w:lang w:eastAsia="pt-BR"/>
        </w:rPr>
      </w:pPr>
      <w:r>
        <w:rPr>
          <w:rFonts w:ascii="Arial" w:eastAsia="Times New Roman" w:hAnsi="Arial" w:cs="Times New Roman"/>
          <w:b/>
          <w:sz w:val="24"/>
          <w:szCs w:val="20"/>
          <w:lang w:eastAsia="pt-BR"/>
        </w:rPr>
        <w:t>3.5</w:t>
      </w:r>
      <w:r w:rsidR="00F92E2B" w:rsidRPr="004E5295">
        <w:rPr>
          <w:rFonts w:ascii="Arial" w:eastAsia="Times New Roman" w:hAnsi="Arial" w:cs="Times New Roman"/>
          <w:b/>
          <w:sz w:val="24"/>
          <w:szCs w:val="20"/>
          <w:lang w:eastAsia="pt-BR"/>
        </w:rPr>
        <w:t xml:space="preserve"> Cálculo do BDI</w:t>
      </w:r>
    </w:p>
    <w:p w:rsidR="00F92E2B" w:rsidRDefault="00F92E2B" w:rsidP="00F92E2B">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p>
    <w:p w:rsidR="00E36C6D" w:rsidRDefault="00F92E2B" w:rsidP="00E36C6D">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r>
        <w:rPr>
          <w:rFonts w:ascii="Arial" w:eastAsia="Times New Roman" w:hAnsi="Arial" w:cs="Arial"/>
          <w:sz w:val="20"/>
          <w:szCs w:val="20"/>
          <w:lang w:eastAsia="pt-BR"/>
        </w:rPr>
        <w:t>O cálculo do BDI está explicado no anexo III deste projeto básico. Esclarece que os parâmetros do cálculo do BDI estão de acordo com a variação permitida pelo Acordão 2622/2013 no tipo de obra: Construção e Manutenção de Estação e Redes de Distribuição de Energia Elétrica</w:t>
      </w:r>
      <w:r w:rsidR="004E5295">
        <w:rPr>
          <w:rFonts w:ascii="Arial" w:eastAsia="Times New Roman" w:hAnsi="Arial" w:cs="Arial"/>
          <w:sz w:val="20"/>
          <w:szCs w:val="20"/>
          <w:lang w:eastAsia="pt-BR"/>
        </w:rPr>
        <w:t>. O valor final do BDI também está de acordo com a sugestão do TCU.</w:t>
      </w:r>
    </w:p>
    <w:p w:rsidR="00D02F7D" w:rsidRDefault="00D02F7D" w:rsidP="00E36C6D">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p>
    <w:p w:rsidR="00D02F7D" w:rsidRDefault="00D02F7D" w:rsidP="00E36C6D">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p>
    <w:p w:rsidR="00390BC4" w:rsidRDefault="00390BC4" w:rsidP="00E36C6D">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p>
    <w:p w:rsidR="00390BC4" w:rsidRDefault="00390BC4" w:rsidP="00E36C6D">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p>
    <w:p w:rsidR="00390BC4" w:rsidRDefault="00390BC4" w:rsidP="00E36C6D">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p>
    <w:p w:rsidR="00D02F7D" w:rsidRDefault="00D02F7D" w:rsidP="00E36C6D">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p>
    <w:p w:rsidR="00E36C6D" w:rsidRPr="00E36C6D" w:rsidRDefault="00E36C6D" w:rsidP="00E36C6D">
      <w:pPr>
        <w:overflowPunct w:val="0"/>
        <w:autoSpaceDE w:val="0"/>
        <w:autoSpaceDN w:val="0"/>
        <w:adjustRightInd w:val="0"/>
        <w:spacing w:after="0" w:line="240" w:lineRule="auto"/>
        <w:jc w:val="center"/>
        <w:textAlignment w:val="baseline"/>
        <w:rPr>
          <w:rFonts w:ascii="Arial" w:eastAsia="Times New Roman" w:hAnsi="Arial" w:cs="Times New Roman"/>
          <w:b/>
          <w:sz w:val="20"/>
          <w:szCs w:val="20"/>
          <w:lang w:eastAsia="pt-BR"/>
        </w:rPr>
      </w:pPr>
      <w:r w:rsidRPr="00E36C6D">
        <w:rPr>
          <w:rFonts w:ascii="Arial" w:eastAsia="Times New Roman" w:hAnsi="Arial" w:cs="Times New Roman"/>
          <w:b/>
          <w:sz w:val="20"/>
          <w:szCs w:val="20"/>
          <w:lang w:eastAsia="pt-BR"/>
        </w:rPr>
        <w:t>CELSO GARCIA DE OLIVEIRA</w:t>
      </w:r>
    </w:p>
    <w:p w:rsidR="00E36C6D" w:rsidRPr="00E36C6D" w:rsidRDefault="00E36C6D" w:rsidP="00E36C6D">
      <w:pPr>
        <w:overflowPunct w:val="0"/>
        <w:autoSpaceDE w:val="0"/>
        <w:autoSpaceDN w:val="0"/>
        <w:adjustRightInd w:val="0"/>
        <w:spacing w:after="0" w:line="240" w:lineRule="auto"/>
        <w:jc w:val="center"/>
        <w:textAlignment w:val="baseline"/>
        <w:rPr>
          <w:rFonts w:ascii="Arial" w:eastAsia="Times New Roman" w:hAnsi="Arial" w:cs="Times New Roman"/>
          <w:i/>
          <w:sz w:val="20"/>
          <w:szCs w:val="20"/>
          <w:lang w:eastAsia="pt-BR"/>
        </w:rPr>
      </w:pPr>
      <w:r w:rsidRPr="00E36C6D">
        <w:rPr>
          <w:rFonts w:ascii="Arial" w:eastAsia="Times New Roman" w:hAnsi="Arial" w:cs="Times New Roman"/>
          <w:i/>
          <w:sz w:val="20"/>
          <w:szCs w:val="20"/>
          <w:lang w:eastAsia="pt-BR"/>
        </w:rPr>
        <w:t>Engenheiro Eletricista</w:t>
      </w:r>
    </w:p>
    <w:p w:rsidR="00E36C6D" w:rsidRPr="00E36C6D" w:rsidRDefault="00E36C6D" w:rsidP="00E36C6D">
      <w:pPr>
        <w:overflowPunct w:val="0"/>
        <w:autoSpaceDE w:val="0"/>
        <w:autoSpaceDN w:val="0"/>
        <w:adjustRightInd w:val="0"/>
        <w:spacing w:after="0" w:line="240" w:lineRule="auto"/>
        <w:jc w:val="center"/>
        <w:textAlignment w:val="baseline"/>
        <w:rPr>
          <w:rFonts w:ascii="Arial" w:eastAsia="Times New Roman" w:hAnsi="Arial" w:cs="Times New Roman"/>
          <w:i/>
          <w:sz w:val="20"/>
          <w:szCs w:val="20"/>
          <w:lang w:eastAsia="pt-BR"/>
        </w:rPr>
      </w:pPr>
      <w:r w:rsidRPr="00E36C6D">
        <w:rPr>
          <w:rFonts w:ascii="Arial" w:eastAsia="Times New Roman" w:hAnsi="Arial" w:cs="Times New Roman"/>
          <w:i/>
          <w:sz w:val="20"/>
          <w:szCs w:val="20"/>
          <w:lang w:eastAsia="pt-BR"/>
        </w:rPr>
        <w:t>Matrícula 20007</w:t>
      </w:r>
    </w:p>
    <w:sectPr w:rsidR="00E36C6D" w:rsidRPr="00E36C6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478"/>
    <w:rsid w:val="0002256C"/>
    <w:rsid w:val="0015554F"/>
    <w:rsid w:val="00234591"/>
    <w:rsid w:val="003248AD"/>
    <w:rsid w:val="00390BC4"/>
    <w:rsid w:val="003E5807"/>
    <w:rsid w:val="00441A66"/>
    <w:rsid w:val="004817DD"/>
    <w:rsid w:val="004D147C"/>
    <w:rsid w:val="004E5295"/>
    <w:rsid w:val="005454E0"/>
    <w:rsid w:val="005943B1"/>
    <w:rsid w:val="005E06D1"/>
    <w:rsid w:val="00640970"/>
    <w:rsid w:val="0066411C"/>
    <w:rsid w:val="006A5B45"/>
    <w:rsid w:val="006C6687"/>
    <w:rsid w:val="007068E2"/>
    <w:rsid w:val="00793C2D"/>
    <w:rsid w:val="00850592"/>
    <w:rsid w:val="00871F38"/>
    <w:rsid w:val="008D3CAF"/>
    <w:rsid w:val="008F3F74"/>
    <w:rsid w:val="00A1242A"/>
    <w:rsid w:val="00A27711"/>
    <w:rsid w:val="00A97B43"/>
    <w:rsid w:val="00B0116A"/>
    <w:rsid w:val="00B0689C"/>
    <w:rsid w:val="00B266D8"/>
    <w:rsid w:val="00B50DDE"/>
    <w:rsid w:val="00C50FFB"/>
    <w:rsid w:val="00CB331D"/>
    <w:rsid w:val="00CB4478"/>
    <w:rsid w:val="00CC3258"/>
    <w:rsid w:val="00CF62F6"/>
    <w:rsid w:val="00D02F7D"/>
    <w:rsid w:val="00D42162"/>
    <w:rsid w:val="00D518BD"/>
    <w:rsid w:val="00D73F27"/>
    <w:rsid w:val="00DE1CAB"/>
    <w:rsid w:val="00DE55AB"/>
    <w:rsid w:val="00E36C6D"/>
    <w:rsid w:val="00EB6D10"/>
    <w:rsid w:val="00EF4649"/>
    <w:rsid w:val="00F75E67"/>
    <w:rsid w:val="00F92E2B"/>
    <w:rsid w:val="00F94AF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B2B551-0274-4F4F-BE1E-E25CA8F16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15554F"/>
    <w:pPr>
      <w:tabs>
        <w:tab w:val="center" w:pos="4419"/>
        <w:tab w:val="right" w:pos="8838"/>
      </w:tabs>
      <w:overflowPunct w:val="0"/>
      <w:autoSpaceDE w:val="0"/>
      <w:autoSpaceDN w:val="0"/>
      <w:adjustRightInd w:val="0"/>
      <w:spacing w:after="0" w:line="240" w:lineRule="auto"/>
      <w:textAlignment w:val="baseline"/>
    </w:pPr>
    <w:rPr>
      <w:rFonts w:ascii="Arial" w:eastAsia="Times New Roman" w:hAnsi="Arial" w:cs="Times New Roman"/>
      <w:i/>
      <w:sz w:val="20"/>
      <w:szCs w:val="20"/>
      <w:lang w:eastAsia="pt-BR"/>
    </w:rPr>
  </w:style>
  <w:style w:type="character" w:customStyle="1" w:styleId="CabealhoChar">
    <w:name w:val="Cabeçalho Char"/>
    <w:basedOn w:val="Fontepargpadro"/>
    <w:link w:val="Cabealho"/>
    <w:rsid w:val="0015554F"/>
    <w:rPr>
      <w:rFonts w:ascii="Arial" w:eastAsia="Times New Roman" w:hAnsi="Arial" w:cs="Times New Roman"/>
      <w:i/>
      <w:sz w:val="20"/>
      <w:szCs w:val="20"/>
      <w:lang w:eastAsia="pt-BR"/>
    </w:rPr>
  </w:style>
  <w:style w:type="paragraph" w:styleId="NormalWeb">
    <w:name w:val="Normal (Web)"/>
    <w:basedOn w:val="Normal"/>
    <w:uiPriority w:val="99"/>
    <w:semiHidden/>
    <w:unhideWhenUsed/>
    <w:rsid w:val="00B0116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5943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8450272">
      <w:bodyDiv w:val="1"/>
      <w:marLeft w:val="0"/>
      <w:marRight w:val="0"/>
      <w:marTop w:val="0"/>
      <w:marBottom w:val="0"/>
      <w:divBdr>
        <w:top w:val="none" w:sz="0" w:space="0" w:color="auto"/>
        <w:left w:val="none" w:sz="0" w:space="0" w:color="auto"/>
        <w:bottom w:val="none" w:sz="0" w:space="0" w:color="auto"/>
        <w:right w:val="none" w:sz="0" w:space="0" w:color="auto"/>
      </w:divBdr>
    </w:div>
    <w:div w:id="2077513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analto.gov.br/ccivil_03/leis/L8883.ht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ACA6D-9388-4D86-8ECD-9EA4B267F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3</Pages>
  <Words>1267</Words>
  <Characters>6847</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Celso Garcia de Oliveira</dc:creator>
  <cp:keywords/>
  <dc:description/>
  <cp:lastModifiedBy>Celso Garcia de Oliveira</cp:lastModifiedBy>
  <cp:revision>29</cp:revision>
  <dcterms:created xsi:type="dcterms:W3CDTF">2014-11-18T21:24:00Z</dcterms:created>
  <dcterms:modified xsi:type="dcterms:W3CDTF">2015-05-04T17:48:00Z</dcterms:modified>
</cp:coreProperties>
</file>